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spacing w:line="480" w:lineRule="auto"/>
        <w:rPr>
          <w:rFonts w:ascii="华文中宋" w:hAnsi="华文中宋" w:eastAsia="华文中宋"/>
          <w:b/>
          <w:sz w:val="72"/>
        </w:rPr>
      </w:pPr>
      <w:r>
        <w:rPr>
          <w:rFonts w:ascii="华文中宋" w:hAnsi="华文中宋" w:eastAsia="华文中宋"/>
          <w:b/>
          <w:sz w:val="72"/>
        </w:rPr>
        <w:drawing>
          <wp:inline distT="0" distB="0" distL="0" distR="0">
            <wp:extent cx="935990" cy="885825"/>
            <wp:effectExtent l="19050" t="0" r="0" b="0"/>
            <wp:docPr id="2" name="图片 1" descr="集团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集团logo.png"/>
                    <pic:cNvPicPr>
                      <a:picLocks noChangeAspect="1"/>
                    </pic:cNvPicPr>
                  </pic:nvPicPr>
                  <pic:blipFill>
                    <a:blip r:embed="rId13" cstate="print"/>
                    <a:stretch>
                      <a:fillRect/>
                    </a:stretch>
                  </pic:blipFill>
                  <pic:spPr>
                    <a:xfrm>
                      <a:off x="0" y="0"/>
                      <a:ext cx="937704" cy="887525"/>
                    </a:xfrm>
                    <a:prstGeom prst="rect">
                      <a:avLst/>
                    </a:prstGeom>
                  </pic:spPr>
                </pic:pic>
              </a:graphicData>
            </a:graphic>
          </wp:inline>
        </w:drawing>
      </w:r>
    </w:p>
    <w:p>
      <w:pPr>
        <w:snapToGrid w:val="0"/>
        <w:spacing w:before="156" w:beforeLines="50"/>
        <w:rPr>
          <w:rFonts w:ascii="仿宋_GB2312" w:eastAsia="仿宋_GB2312"/>
          <w:b/>
          <w:sz w:val="32"/>
        </w:rPr>
      </w:pPr>
    </w:p>
    <w:p>
      <w:pPr>
        <w:snapToGrid w:val="0"/>
        <w:spacing w:before="156" w:beforeLines="50"/>
        <w:rPr>
          <w:rFonts w:ascii="仿宋_GB2312" w:eastAsia="仿宋_GB2312"/>
          <w:b/>
          <w:sz w:val="32"/>
        </w:rPr>
      </w:pPr>
    </w:p>
    <w:p>
      <w:pPr>
        <w:snapToGrid w:val="0"/>
        <w:spacing w:before="156" w:beforeLines="50"/>
        <w:rPr>
          <w:rFonts w:ascii="黑体" w:hAnsi="华文中宋" w:eastAsia="黑体" w:cs="华文中宋"/>
          <w:b/>
          <w:bCs/>
          <w:sz w:val="72"/>
          <w:szCs w:val="72"/>
        </w:rPr>
      </w:pPr>
    </w:p>
    <w:p>
      <w:pPr>
        <w:snapToGrid w:val="0"/>
        <w:spacing w:before="156" w:beforeLines="50" w:after="156" w:afterLines="50"/>
        <w:jc w:val="center"/>
        <w:rPr>
          <w:rFonts w:hint="eastAsia" w:ascii="楷体_GB2312" w:eastAsia="楷体_GB2312"/>
          <w:b/>
          <w:sz w:val="120"/>
          <w:szCs w:val="120"/>
          <w:lang w:val="en-US" w:eastAsia="zh-CN"/>
        </w:rPr>
      </w:pPr>
      <w:r>
        <w:rPr>
          <w:rFonts w:hint="eastAsia" w:ascii="楷体_GB2312" w:eastAsia="楷体_GB2312"/>
          <w:b/>
          <w:sz w:val="120"/>
          <w:szCs w:val="120"/>
        </w:rPr>
        <w:t>招标</w:t>
      </w:r>
      <w:r>
        <w:rPr>
          <w:rFonts w:hint="eastAsia" w:ascii="楷体_GB2312" w:eastAsia="楷体_GB2312"/>
          <w:b/>
          <w:sz w:val="120"/>
          <w:szCs w:val="120"/>
          <w:lang w:val="en-US" w:eastAsia="zh-CN"/>
        </w:rPr>
        <w:t>文件</w:t>
      </w:r>
    </w:p>
    <w:p>
      <w:pPr>
        <w:spacing w:line="360" w:lineRule="auto"/>
        <w:rPr>
          <w:rFonts w:ascii="宋体" w:hAnsi="宋体"/>
          <w:sz w:val="24"/>
        </w:rPr>
      </w:pPr>
    </w:p>
    <w:p>
      <w:pPr>
        <w:spacing w:line="360" w:lineRule="auto"/>
        <w:rPr>
          <w:rFonts w:ascii="宋体" w:hAnsi="宋体"/>
          <w:sz w:val="24"/>
        </w:rPr>
      </w:pPr>
    </w:p>
    <w:p>
      <w:pPr>
        <w:adjustRightInd w:val="0"/>
        <w:snapToGrid w:val="0"/>
        <w:spacing w:line="360" w:lineRule="auto"/>
        <w:rPr>
          <w:rFonts w:ascii="仿宋_GB2312" w:eastAsia="仿宋_GB2312"/>
          <w:b/>
          <w:sz w:val="36"/>
          <w:szCs w:val="36"/>
        </w:rPr>
      </w:pPr>
      <w:r>
        <w:rPr>
          <w:rFonts w:hint="eastAsia" w:ascii="仿宋_GB2312" w:eastAsia="仿宋_GB2312"/>
          <w:b/>
          <w:sz w:val="36"/>
          <w:szCs w:val="36"/>
        </w:rPr>
        <w:t>项目编号：BYJSCG-23-0005</w:t>
      </w:r>
    </w:p>
    <w:p>
      <w:pPr>
        <w:adjustRightInd w:val="0"/>
        <w:snapToGrid w:val="0"/>
        <w:spacing w:line="360" w:lineRule="auto"/>
        <w:ind w:left="1626" w:hanging="1620" w:hangingChars="450"/>
        <w:rPr>
          <w:rFonts w:eastAsia="仿宋_GB2312"/>
          <w:sz w:val="30"/>
        </w:rPr>
      </w:pPr>
      <w:r>
        <w:rPr>
          <w:rFonts w:hint="eastAsia" w:ascii="仿宋_GB2312" w:eastAsia="仿宋_GB2312"/>
          <w:b/>
          <w:sz w:val="36"/>
          <w:szCs w:val="36"/>
        </w:rPr>
        <w:t>项目名称：广州市白云城市开发投资集团有限公司2023年9月至2024年8月食材配送服务项目</w:t>
      </w:r>
    </w:p>
    <w:p>
      <w:pPr>
        <w:spacing w:line="360" w:lineRule="auto"/>
        <w:rPr>
          <w:rFonts w:eastAsia="华文中宋"/>
          <w:sz w:val="30"/>
        </w:rPr>
      </w:pPr>
    </w:p>
    <w:p>
      <w:pPr>
        <w:snapToGrid w:val="0"/>
        <w:spacing w:before="156" w:beforeLines="50"/>
        <w:jc w:val="center"/>
        <w:rPr>
          <w:rFonts w:ascii="仿宋_GB2312" w:eastAsia="仿宋_GB2312"/>
          <w:b/>
          <w:sz w:val="44"/>
          <w:szCs w:val="44"/>
        </w:rPr>
      </w:pPr>
    </w:p>
    <w:p>
      <w:pPr>
        <w:snapToGrid w:val="0"/>
        <w:spacing w:before="156" w:beforeLines="50"/>
        <w:jc w:val="center"/>
        <w:rPr>
          <w:rFonts w:ascii="仿宋_GB2312" w:eastAsia="仿宋_GB2312"/>
          <w:b/>
          <w:sz w:val="36"/>
          <w:szCs w:val="36"/>
        </w:rPr>
      </w:pPr>
      <w:bookmarkStart w:id="0" w:name="_Hlk64987691"/>
      <w:r>
        <w:rPr>
          <w:rFonts w:hint="eastAsia" w:ascii="仿宋_GB2312" w:eastAsia="仿宋_GB2312"/>
          <w:b/>
          <w:sz w:val="36"/>
          <w:szCs w:val="36"/>
        </w:rPr>
        <w:t>采购代理机构：广州市白云城市建设投资有限公司</w:t>
      </w:r>
    </w:p>
    <w:p>
      <w:pPr>
        <w:snapToGrid w:val="0"/>
        <w:spacing w:before="156" w:beforeLines="50"/>
        <w:jc w:val="center"/>
        <w:rPr>
          <w:rFonts w:ascii="仿宋_GB2312" w:eastAsia="仿宋_GB2312"/>
          <w:b/>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466" w:bottom="1440" w:left="1800" w:header="567" w:footer="992" w:gutter="0"/>
          <w:cols w:space="720" w:num="1"/>
          <w:docGrid w:type="linesAndChars" w:linePitch="312" w:charSpace="0"/>
        </w:sectPr>
      </w:pPr>
      <w:r>
        <w:rPr>
          <w:rFonts w:hint="eastAsia" w:ascii="仿宋_GB2312" w:eastAsia="仿宋_GB2312"/>
          <w:b/>
          <w:sz w:val="36"/>
          <w:szCs w:val="36"/>
        </w:rPr>
        <w:t>二○二三年</w:t>
      </w:r>
      <w:r>
        <w:rPr>
          <w:rFonts w:hint="eastAsia" w:ascii="仿宋_GB2312" w:eastAsia="仿宋_GB2312"/>
          <w:b/>
          <w:sz w:val="36"/>
          <w:szCs w:val="36"/>
          <w:lang w:val="en-US" w:eastAsia="zh-CN"/>
        </w:rPr>
        <w:t>十</w:t>
      </w:r>
      <w:r>
        <w:rPr>
          <w:rFonts w:ascii="仿宋_GB2312" w:eastAsia="仿宋_GB2312"/>
          <w:b/>
          <w:sz w:val="36"/>
          <w:szCs w:val="36"/>
        </w:rPr>
        <w:t>月</w:t>
      </w:r>
      <w:bookmarkEnd w:id="0"/>
    </w:p>
    <w:p>
      <w:pPr>
        <w:autoSpaceDE w:val="0"/>
        <w:autoSpaceDN w:val="0"/>
        <w:adjustRightInd w:val="0"/>
        <w:snapToGrid w:val="0"/>
        <w:spacing w:before="156" w:beforeLines="50" w:after="156" w:afterLines="50"/>
        <w:jc w:val="center"/>
        <w:rPr>
          <w:rFonts w:ascii="黑体" w:hAnsi="黑体" w:eastAsia="黑体"/>
          <w:b/>
          <w:sz w:val="44"/>
          <w:szCs w:val="44"/>
        </w:rPr>
      </w:pPr>
      <w:r>
        <w:rPr>
          <w:rFonts w:hint="eastAsia" w:ascii="黑体" w:hAnsi="黑体" w:eastAsia="黑体"/>
          <w:b/>
          <w:sz w:val="44"/>
          <w:szCs w:val="44"/>
        </w:rPr>
        <w:t>温馨提示！！！</w:t>
      </w:r>
    </w:p>
    <w:p>
      <w:pPr>
        <w:numPr>
          <w:ilvl w:val="0"/>
          <w:numId w:val="2"/>
        </w:numPr>
        <w:tabs>
          <w:tab w:val="left" w:pos="709"/>
        </w:tabs>
        <w:spacing w:line="360" w:lineRule="auto"/>
        <w:rPr>
          <w:rFonts w:ascii="宋体" w:hAnsi="宋体"/>
          <w:sz w:val="24"/>
        </w:rPr>
      </w:pPr>
      <w:r>
        <w:rPr>
          <w:rFonts w:hint="eastAsia" w:ascii="宋体" w:hAnsi="宋体"/>
          <w:sz w:val="24"/>
        </w:rPr>
        <w:t>如无另行说明，投标文件递交时间为投标截止时间</w:t>
      </w:r>
      <w:r>
        <w:rPr>
          <w:rFonts w:hint="eastAsia" w:ascii="宋体" w:hAnsi="宋体"/>
          <w:b/>
          <w:sz w:val="24"/>
          <w:u w:val="single"/>
        </w:rPr>
        <w:t>前30分钟</w:t>
      </w:r>
      <w:r>
        <w:rPr>
          <w:rFonts w:hint="eastAsia" w:ascii="宋体" w:hAnsi="宋体"/>
          <w:sz w:val="24"/>
        </w:rPr>
        <w:t>内。</w:t>
      </w:r>
    </w:p>
    <w:p>
      <w:pPr>
        <w:numPr>
          <w:ilvl w:val="0"/>
          <w:numId w:val="2"/>
        </w:numPr>
        <w:tabs>
          <w:tab w:val="left" w:pos="709"/>
        </w:tabs>
        <w:spacing w:line="360" w:lineRule="auto"/>
        <w:rPr>
          <w:rFonts w:ascii="宋体" w:hAnsi="宋体"/>
          <w:sz w:val="24"/>
        </w:rPr>
      </w:pPr>
      <w:r>
        <w:rPr>
          <w:rFonts w:hint="eastAsia" w:ascii="宋体" w:hAnsi="宋体"/>
          <w:sz w:val="24"/>
        </w:rPr>
        <w:t>本项目邀请投标人参加开标会议，请</w:t>
      </w:r>
      <w:r>
        <w:rPr>
          <w:rFonts w:hint="eastAsia" w:ascii="宋体" w:hAnsi="宋体"/>
          <w:b/>
          <w:sz w:val="24"/>
        </w:rPr>
        <w:t>适当提前到达</w:t>
      </w:r>
      <w:r>
        <w:rPr>
          <w:rFonts w:hint="eastAsia" w:ascii="宋体" w:hAnsi="宋体"/>
          <w:sz w:val="24"/>
        </w:rPr>
        <w:t>。</w:t>
      </w:r>
    </w:p>
    <w:p>
      <w:pPr>
        <w:numPr>
          <w:ilvl w:val="0"/>
          <w:numId w:val="2"/>
        </w:numPr>
        <w:tabs>
          <w:tab w:val="left" w:pos="709"/>
        </w:tabs>
        <w:spacing w:line="360" w:lineRule="auto"/>
        <w:rPr>
          <w:rFonts w:ascii="宋体" w:hAnsi="宋体"/>
          <w:sz w:val="24"/>
        </w:rPr>
      </w:pPr>
      <w:r>
        <w:rPr>
          <w:rFonts w:hint="eastAsia" w:ascii="宋体" w:hAnsi="宋体"/>
          <w:sz w:val="24"/>
        </w:rPr>
        <w:t>投标文件应按顺序</w:t>
      </w:r>
      <w:r>
        <w:rPr>
          <w:rFonts w:hint="eastAsia" w:ascii="宋体" w:hAnsi="宋体"/>
          <w:b/>
          <w:sz w:val="24"/>
        </w:rPr>
        <w:t>编制页码</w:t>
      </w:r>
      <w:r>
        <w:rPr>
          <w:rFonts w:hint="eastAsia" w:ascii="宋体" w:hAnsi="宋体"/>
          <w:sz w:val="24"/>
        </w:rPr>
        <w:t>。</w:t>
      </w:r>
    </w:p>
    <w:p>
      <w:pPr>
        <w:numPr>
          <w:ilvl w:val="0"/>
          <w:numId w:val="2"/>
        </w:numPr>
        <w:tabs>
          <w:tab w:val="left" w:pos="709"/>
        </w:tabs>
        <w:spacing w:line="360" w:lineRule="auto"/>
        <w:rPr>
          <w:rFonts w:ascii="宋体" w:hAnsi="宋体"/>
          <w:sz w:val="24"/>
        </w:rPr>
      </w:pPr>
      <w:r>
        <w:rPr>
          <w:rFonts w:hint="eastAsia" w:ascii="宋体" w:hAnsi="宋体"/>
          <w:sz w:val="24"/>
        </w:rPr>
        <w:t>请仔细检查投标文件是否已按招标文件要求</w:t>
      </w:r>
      <w:r>
        <w:rPr>
          <w:rFonts w:hint="eastAsia" w:ascii="宋体" w:hAnsi="宋体"/>
          <w:b/>
          <w:sz w:val="24"/>
        </w:rPr>
        <w:t>盖章、签名、签署日期</w:t>
      </w:r>
      <w:r>
        <w:rPr>
          <w:rFonts w:hint="eastAsia" w:ascii="宋体" w:hAnsi="宋体"/>
          <w:sz w:val="24"/>
        </w:rPr>
        <w:t>。</w:t>
      </w:r>
    </w:p>
    <w:p>
      <w:pPr>
        <w:numPr>
          <w:ilvl w:val="0"/>
          <w:numId w:val="2"/>
        </w:numPr>
        <w:tabs>
          <w:tab w:val="left" w:pos="709"/>
        </w:tabs>
        <w:spacing w:line="360" w:lineRule="auto"/>
        <w:rPr>
          <w:rFonts w:ascii="宋体" w:hAnsi="宋体"/>
          <w:sz w:val="24"/>
        </w:rPr>
      </w:pPr>
      <w:r>
        <w:rPr>
          <w:rFonts w:hint="eastAsia" w:ascii="宋体" w:hAnsi="宋体"/>
          <w:sz w:val="24"/>
        </w:rPr>
        <w:t>请正确填写《开标一览表（报价表）》、《投标分项报价表》(如有)。多包组项目请仔细检查包组号，包组号与包组采购内容必须对应。</w:t>
      </w:r>
    </w:p>
    <w:p>
      <w:pPr>
        <w:numPr>
          <w:ilvl w:val="0"/>
          <w:numId w:val="2"/>
        </w:numPr>
        <w:tabs>
          <w:tab w:val="left" w:pos="709"/>
        </w:tabs>
        <w:spacing w:line="360" w:lineRule="auto"/>
        <w:rPr>
          <w:rFonts w:ascii="宋体" w:hAnsi="宋体"/>
          <w:sz w:val="24"/>
        </w:rPr>
      </w:pPr>
      <w:r>
        <w:rPr>
          <w:rFonts w:hint="eastAsia" w:ascii="宋体" w:hAnsi="宋体"/>
          <w:sz w:val="24"/>
        </w:rPr>
        <w:t>如投标产品属于许可证管理范围内的，须提交相应的许可证复印件。</w:t>
      </w:r>
    </w:p>
    <w:p>
      <w:pPr>
        <w:numPr>
          <w:ilvl w:val="0"/>
          <w:numId w:val="2"/>
        </w:numPr>
        <w:tabs>
          <w:tab w:val="left" w:pos="709"/>
        </w:tabs>
        <w:spacing w:line="360" w:lineRule="auto"/>
        <w:rPr>
          <w:rFonts w:ascii="宋体" w:hAnsi="宋体"/>
          <w:sz w:val="24"/>
        </w:rPr>
      </w:pPr>
      <w:r>
        <w:rPr>
          <w:rFonts w:hint="eastAsia" w:ascii="宋体" w:hAnsi="宋体" w:cs="宋体"/>
          <w:sz w:val="24"/>
        </w:rPr>
        <w:t>分支机构投标，须取得</w:t>
      </w:r>
      <w:r>
        <w:rPr>
          <w:rFonts w:hint="eastAsia" w:ascii="宋体" w:hAnsi="宋体" w:cs="黑体"/>
          <w:sz w:val="24"/>
        </w:rPr>
        <w:t>具有法人资格的总公司</w:t>
      </w:r>
      <w:r>
        <w:rPr>
          <w:rStyle w:val="76"/>
          <w:rFonts w:hint="eastAsia" w:ascii="宋体" w:hAnsi="宋体"/>
          <w:sz w:val="24"/>
          <w:szCs w:val="24"/>
        </w:rPr>
        <w:t>（总所）</w:t>
      </w:r>
      <w:r>
        <w:rPr>
          <w:rFonts w:hint="eastAsia" w:ascii="宋体" w:hAnsi="宋体" w:cs="黑体"/>
          <w:sz w:val="24"/>
        </w:rPr>
        <w:t>出具给分支机构的授权书，并提供总公司</w:t>
      </w:r>
      <w:r>
        <w:rPr>
          <w:rStyle w:val="76"/>
          <w:rFonts w:hint="eastAsia" w:ascii="宋体" w:hAnsi="宋体"/>
          <w:sz w:val="24"/>
          <w:szCs w:val="24"/>
        </w:rPr>
        <w:t>（总所）</w:t>
      </w:r>
      <w:r>
        <w:rPr>
          <w:rFonts w:hint="eastAsia" w:ascii="宋体" w:hAnsi="宋体" w:cs="黑体"/>
          <w:sz w:val="24"/>
        </w:rPr>
        <w:t>和分支机构的营业执照（执业许可证）复印件。</w:t>
      </w:r>
      <w:r>
        <w:rPr>
          <w:rStyle w:val="76"/>
          <w:rFonts w:hint="eastAsia" w:ascii="宋体" w:hAnsi="宋体"/>
          <w:sz w:val="24"/>
          <w:szCs w:val="24"/>
        </w:rPr>
        <w:t>已由总公司（总所）授权的，总公司（总所）取得的相关资质证书对分支机构有效，法律法规或者行业另有规定的除外。</w:t>
      </w:r>
    </w:p>
    <w:p>
      <w:pPr>
        <w:numPr>
          <w:ilvl w:val="0"/>
          <w:numId w:val="2"/>
        </w:numPr>
        <w:tabs>
          <w:tab w:val="left" w:pos="709"/>
        </w:tabs>
        <w:spacing w:line="360" w:lineRule="auto"/>
        <w:rPr>
          <w:rFonts w:ascii="宋体" w:hAnsi="宋体"/>
          <w:sz w:val="24"/>
        </w:rPr>
      </w:pPr>
      <w:r>
        <w:rPr>
          <w:rFonts w:ascii="宋体" w:hAnsi="宋体"/>
          <w:sz w:val="24"/>
        </w:rPr>
        <w:t>递交投标文件前请仔细检查投标文件是否已胶装成册、已密封完好。</w:t>
      </w:r>
    </w:p>
    <w:p>
      <w:pPr>
        <w:numPr>
          <w:ilvl w:val="0"/>
          <w:numId w:val="2"/>
        </w:numPr>
        <w:tabs>
          <w:tab w:val="left" w:pos="709"/>
        </w:tabs>
        <w:adjustRightInd w:val="0"/>
        <w:snapToGrid w:val="0"/>
        <w:spacing w:line="360" w:lineRule="auto"/>
        <w:rPr>
          <w:rFonts w:ascii="宋体" w:hAnsi="宋体"/>
          <w:sz w:val="24"/>
        </w:rPr>
      </w:pPr>
      <w:r>
        <w:rPr>
          <w:rFonts w:hint="eastAsia" w:ascii="宋体" w:hAnsi="宋体"/>
          <w:sz w:val="24"/>
        </w:rPr>
        <w:t>投标人如需对项目提出询问或质疑，应按招标文件附件中的询问函和质疑函的格式提交。</w:t>
      </w:r>
    </w:p>
    <w:p>
      <w:pPr>
        <w:numPr>
          <w:ilvl w:val="0"/>
          <w:numId w:val="2"/>
        </w:numPr>
        <w:tabs>
          <w:tab w:val="left" w:pos="709"/>
        </w:tabs>
        <w:adjustRightInd w:val="0"/>
        <w:snapToGrid w:val="0"/>
        <w:spacing w:line="360" w:lineRule="auto"/>
        <w:rPr>
          <w:rFonts w:ascii="宋体" w:hAnsi="宋体"/>
          <w:sz w:val="24"/>
        </w:rPr>
      </w:pPr>
      <w:r>
        <w:rPr>
          <w:rFonts w:hint="eastAsia" w:ascii="宋体" w:hAnsi="宋体"/>
          <w:sz w:val="24"/>
        </w:rPr>
        <w:t>投标文件建议采用A4纸、双面打印、胶装。多包组项目如投标人同时投标多个包组的，建议每个包组分别装订。</w:t>
      </w:r>
    </w:p>
    <w:p>
      <w:pPr>
        <w:numPr>
          <w:ilvl w:val="0"/>
          <w:numId w:val="2"/>
        </w:numPr>
        <w:tabs>
          <w:tab w:val="left" w:pos="709"/>
        </w:tabs>
        <w:spacing w:line="360" w:lineRule="auto"/>
        <w:rPr>
          <w:rFonts w:ascii="宋体" w:hAnsi="宋体"/>
          <w:sz w:val="24"/>
        </w:rPr>
      </w:pPr>
      <w:r>
        <w:rPr>
          <w:rFonts w:hint="eastAsia" w:ascii="宋体" w:hAnsi="宋体"/>
          <w:sz w:val="24"/>
        </w:rPr>
        <w:t>上述提示内容非招标文件的组成部分，仅为善意提醒。如有不一致的地方，以招标文件为准。</w:t>
      </w:r>
    </w:p>
    <w:p>
      <w:pPr>
        <w:spacing w:line="360" w:lineRule="auto"/>
        <w:jc w:val="center"/>
        <w:rPr>
          <w:rFonts w:ascii="宋体" w:hAnsi="宋体"/>
          <w:b/>
          <w:sz w:val="24"/>
        </w:rPr>
      </w:pPr>
      <w:r>
        <w:rPr>
          <w:rFonts w:ascii="宋体" w:hAnsi="宋体"/>
          <w:sz w:val="24"/>
        </w:rPr>
        <w:br w:type="page"/>
      </w:r>
      <w:bookmarkStart w:id="1" w:name="_Toc292267790"/>
      <w:bookmarkStart w:id="2" w:name="_Toc435114676"/>
      <w:bookmarkStart w:id="3" w:name="_Toc435115363"/>
      <w:bookmarkStart w:id="4" w:name="_Toc435115051"/>
    </w:p>
    <w:p>
      <w:pPr>
        <w:spacing w:line="360" w:lineRule="auto"/>
        <w:jc w:val="center"/>
        <w:rPr>
          <w:rFonts w:ascii="宋体" w:hAnsi="宋体"/>
          <w:b/>
          <w:sz w:val="44"/>
          <w:szCs w:val="44"/>
        </w:rPr>
      </w:pPr>
      <w:r>
        <w:rPr>
          <w:rFonts w:hint="eastAsia" w:ascii="宋体" w:hAnsi="宋体"/>
          <w:b/>
          <w:sz w:val="44"/>
          <w:szCs w:val="44"/>
        </w:rPr>
        <w:t>目   录</w:t>
      </w:r>
    </w:p>
    <w:bookmarkEnd w:id="1"/>
    <w:bookmarkEnd w:id="2"/>
    <w:bookmarkEnd w:id="3"/>
    <w:p>
      <w:pPr>
        <w:pStyle w:val="36"/>
        <w:tabs>
          <w:tab w:val="right" w:leader="dot" w:pos="9180"/>
        </w:tabs>
      </w:pPr>
      <w:bookmarkStart w:id="5" w:name="_Toc435514842"/>
      <w:r>
        <w:rPr>
          <w:rFonts w:asciiTheme="minorEastAsia" w:hAnsiTheme="minorEastAsia" w:eastAsiaTheme="minorEastAsia"/>
          <w:bCs w:val="0"/>
          <w:caps w:val="0"/>
          <w:sz w:val="32"/>
          <w:szCs w:val="32"/>
        </w:rPr>
        <w:fldChar w:fldCharType="begin"/>
      </w:r>
      <w:r>
        <w:rPr>
          <w:rFonts w:asciiTheme="minorEastAsia" w:hAnsiTheme="minorEastAsia" w:eastAsiaTheme="minorEastAsia"/>
          <w:bCs w:val="0"/>
          <w:caps w:val="0"/>
          <w:sz w:val="32"/>
          <w:szCs w:val="32"/>
        </w:rPr>
        <w:instrText xml:space="preserve"> TOC \o "1-3" \h \z \u </w:instrText>
      </w:r>
      <w:r>
        <w:rPr>
          <w:rFonts w:asciiTheme="minorEastAsia" w:hAnsiTheme="minorEastAsia" w:eastAsiaTheme="minorEastAsia"/>
          <w:bCs w:val="0"/>
          <w:caps w:val="0"/>
          <w:sz w:val="32"/>
          <w:szCs w:val="32"/>
        </w:rPr>
        <w:fldChar w:fldCharType="separate"/>
      </w:r>
      <w:r>
        <w:fldChar w:fldCharType="begin"/>
      </w:r>
      <w:r>
        <w:instrText xml:space="preserve"> HYPERLINK \l "_Toc29574" </w:instrText>
      </w:r>
      <w:r>
        <w:fldChar w:fldCharType="separate"/>
      </w:r>
      <w:r>
        <w:rPr>
          <w:rFonts w:hint="eastAsia"/>
          <w:szCs w:val="28"/>
        </w:rPr>
        <w:t>第一</w:t>
      </w:r>
      <w:r>
        <w:rPr>
          <w:szCs w:val="28"/>
        </w:rPr>
        <w:t>章</w:t>
      </w:r>
      <w:r>
        <w:rPr>
          <w:rFonts w:hint="eastAsia"/>
          <w:szCs w:val="28"/>
        </w:rPr>
        <w:t xml:space="preserve">  采购公告</w:t>
      </w:r>
      <w:r>
        <w:tab/>
      </w:r>
      <w:r>
        <w:fldChar w:fldCharType="begin"/>
      </w:r>
      <w:r>
        <w:instrText xml:space="preserve"> PAGEREF _Toc29574 \h </w:instrText>
      </w:r>
      <w:r>
        <w:fldChar w:fldCharType="separate"/>
      </w:r>
      <w:r>
        <w:t>4</w:t>
      </w:r>
      <w:r>
        <w:fldChar w:fldCharType="end"/>
      </w:r>
      <w:r>
        <w:fldChar w:fldCharType="end"/>
      </w:r>
    </w:p>
    <w:p>
      <w:pPr>
        <w:pStyle w:val="36"/>
        <w:tabs>
          <w:tab w:val="right" w:leader="dot" w:pos="9180"/>
        </w:tabs>
      </w:pPr>
      <w:r>
        <w:fldChar w:fldCharType="begin"/>
      </w:r>
      <w:r>
        <w:instrText xml:space="preserve"> HYPERLINK \l "_Toc2144" </w:instrText>
      </w:r>
      <w:r>
        <w:fldChar w:fldCharType="separate"/>
      </w:r>
      <w:r>
        <w:rPr>
          <w:rFonts w:hint="eastAsia"/>
          <w:szCs w:val="28"/>
        </w:rPr>
        <w:t>第二章用户需求书</w:t>
      </w:r>
      <w:r>
        <w:tab/>
      </w:r>
      <w:r>
        <w:fldChar w:fldCharType="begin"/>
      </w:r>
      <w:r>
        <w:instrText xml:space="preserve"> PAGEREF _Toc2144 \h </w:instrText>
      </w:r>
      <w:r>
        <w:fldChar w:fldCharType="separate"/>
      </w:r>
      <w:r>
        <w:t>9</w:t>
      </w:r>
      <w:r>
        <w:fldChar w:fldCharType="end"/>
      </w:r>
      <w:r>
        <w:fldChar w:fldCharType="end"/>
      </w:r>
    </w:p>
    <w:p>
      <w:pPr>
        <w:pStyle w:val="45"/>
        <w:tabs>
          <w:tab w:val="right" w:leader="dot" w:pos="9180"/>
        </w:tabs>
      </w:pPr>
      <w:r>
        <w:fldChar w:fldCharType="begin"/>
      </w:r>
      <w:r>
        <w:instrText xml:space="preserve"> HYPERLINK \l "_Toc690" </w:instrText>
      </w:r>
      <w:r>
        <w:fldChar w:fldCharType="separate"/>
      </w:r>
      <w:r>
        <w:rPr>
          <w:rFonts w:hint="eastAsia" w:ascii="宋体" w:hAnsi="宋体" w:cs="宋体"/>
          <w:szCs w:val="21"/>
        </w:rPr>
        <w:t>一、</w:t>
      </w:r>
      <w:r>
        <w:rPr>
          <w:rFonts w:hint="eastAsia" w:ascii="宋体" w:hAnsi="宋体" w:cs="宋体"/>
          <w:szCs w:val="24"/>
        </w:rPr>
        <w:t>项目概况</w:t>
      </w:r>
      <w:r>
        <w:tab/>
      </w:r>
      <w:r>
        <w:fldChar w:fldCharType="begin"/>
      </w:r>
      <w:r>
        <w:instrText xml:space="preserve"> PAGEREF _Toc690 \h </w:instrText>
      </w:r>
      <w:r>
        <w:fldChar w:fldCharType="separate"/>
      </w:r>
      <w:r>
        <w:t>9</w:t>
      </w:r>
      <w:r>
        <w:fldChar w:fldCharType="end"/>
      </w:r>
      <w:r>
        <w:fldChar w:fldCharType="end"/>
      </w:r>
    </w:p>
    <w:p>
      <w:pPr>
        <w:pStyle w:val="36"/>
        <w:tabs>
          <w:tab w:val="right" w:leader="dot" w:pos="9180"/>
        </w:tabs>
      </w:pPr>
      <w:r>
        <w:fldChar w:fldCharType="begin"/>
      </w:r>
      <w:r>
        <w:instrText xml:space="preserve"> HYPERLINK \l "_Toc15562" </w:instrText>
      </w:r>
      <w:r>
        <w:fldChar w:fldCharType="separate"/>
      </w:r>
      <w:r>
        <w:rPr>
          <w:rFonts w:hint="eastAsia" w:cs="宋体" w:asciiTheme="minorEastAsia" w:hAnsiTheme="minorEastAsia" w:eastAsiaTheme="minorEastAsia"/>
        </w:rPr>
        <w:t>三、具体项目要求</w:t>
      </w:r>
      <w:r>
        <w:tab/>
      </w:r>
      <w:r>
        <w:fldChar w:fldCharType="begin"/>
      </w:r>
      <w:r>
        <w:instrText xml:space="preserve"> PAGEREF _Toc15562 \h </w:instrText>
      </w:r>
      <w:r>
        <w:fldChar w:fldCharType="separate"/>
      </w:r>
      <w:r>
        <w:t>10</w:t>
      </w:r>
      <w:r>
        <w:fldChar w:fldCharType="end"/>
      </w:r>
      <w:r>
        <w:fldChar w:fldCharType="end"/>
      </w:r>
    </w:p>
    <w:p>
      <w:pPr>
        <w:pStyle w:val="36"/>
        <w:tabs>
          <w:tab w:val="right" w:leader="dot" w:pos="9180"/>
        </w:tabs>
      </w:pPr>
      <w:r>
        <w:fldChar w:fldCharType="begin"/>
      </w:r>
      <w:r>
        <w:instrText xml:space="preserve"> HYPERLINK \l "_Toc22604" </w:instrText>
      </w:r>
      <w:r>
        <w:fldChar w:fldCharType="separate"/>
      </w:r>
      <w:r>
        <w:rPr>
          <w:rFonts w:hint="eastAsia" w:cs="宋体" w:asciiTheme="minorEastAsia" w:hAnsiTheme="minorEastAsia" w:eastAsiaTheme="minorEastAsia"/>
        </w:rPr>
        <w:t>四、产品配送要求</w:t>
      </w:r>
      <w:r>
        <w:tab/>
      </w:r>
      <w:r>
        <w:fldChar w:fldCharType="begin"/>
      </w:r>
      <w:r>
        <w:instrText xml:space="preserve"> PAGEREF _Toc22604 \h </w:instrText>
      </w:r>
      <w:r>
        <w:fldChar w:fldCharType="separate"/>
      </w:r>
      <w:r>
        <w:t>12</w:t>
      </w:r>
      <w:r>
        <w:fldChar w:fldCharType="end"/>
      </w:r>
      <w:r>
        <w:fldChar w:fldCharType="end"/>
      </w:r>
    </w:p>
    <w:p>
      <w:pPr>
        <w:pStyle w:val="36"/>
        <w:tabs>
          <w:tab w:val="right" w:leader="dot" w:pos="9180"/>
        </w:tabs>
      </w:pPr>
      <w:r>
        <w:fldChar w:fldCharType="begin"/>
      </w:r>
      <w:r>
        <w:instrText xml:space="preserve"> HYPERLINK \l "_Toc6549" </w:instrText>
      </w:r>
      <w:r>
        <w:fldChar w:fldCharType="separate"/>
      </w:r>
      <w:r>
        <w:rPr>
          <w:rFonts w:hint="eastAsia" w:cs="宋体" w:asciiTheme="minorEastAsia" w:hAnsiTheme="minorEastAsia" w:eastAsiaTheme="minorEastAsia"/>
        </w:rPr>
        <w:t>五、定价方式</w:t>
      </w:r>
      <w:r>
        <w:tab/>
      </w:r>
      <w:r>
        <w:fldChar w:fldCharType="begin"/>
      </w:r>
      <w:r>
        <w:instrText xml:space="preserve"> PAGEREF _Toc6549 \h </w:instrText>
      </w:r>
      <w:r>
        <w:fldChar w:fldCharType="separate"/>
      </w:r>
      <w:r>
        <w:t>13</w:t>
      </w:r>
      <w:r>
        <w:fldChar w:fldCharType="end"/>
      </w:r>
      <w:r>
        <w:fldChar w:fldCharType="end"/>
      </w:r>
    </w:p>
    <w:p>
      <w:pPr>
        <w:pStyle w:val="36"/>
        <w:tabs>
          <w:tab w:val="right" w:leader="dot" w:pos="9180"/>
        </w:tabs>
      </w:pPr>
      <w:r>
        <w:fldChar w:fldCharType="begin"/>
      </w:r>
      <w:r>
        <w:instrText xml:space="preserve"> HYPERLINK \l "_Toc1722" </w:instrText>
      </w:r>
      <w:r>
        <w:fldChar w:fldCharType="separate"/>
      </w:r>
      <w:r>
        <w:rPr>
          <w:rFonts w:hint="eastAsia" w:cs="宋体" w:asciiTheme="minorEastAsia" w:hAnsiTheme="minorEastAsia" w:eastAsiaTheme="minorEastAsia"/>
        </w:rPr>
        <w:t>六、售后服务</w:t>
      </w:r>
      <w:r>
        <w:tab/>
      </w:r>
      <w:r>
        <w:fldChar w:fldCharType="begin"/>
      </w:r>
      <w:r>
        <w:instrText xml:space="preserve"> PAGEREF _Toc1722 \h </w:instrText>
      </w:r>
      <w:r>
        <w:fldChar w:fldCharType="separate"/>
      </w:r>
      <w:r>
        <w:t>13</w:t>
      </w:r>
      <w:r>
        <w:fldChar w:fldCharType="end"/>
      </w:r>
      <w:r>
        <w:fldChar w:fldCharType="end"/>
      </w:r>
    </w:p>
    <w:p>
      <w:pPr>
        <w:pStyle w:val="36"/>
        <w:tabs>
          <w:tab w:val="right" w:leader="dot" w:pos="9180"/>
        </w:tabs>
      </w:pPr>
      <w:r>
        <w:fldChar w:fldCharType="begin"/>
      </w:r>
      <w:r>
        <w:instrText xml:space="preserve"> HYPERLINK \l "_Toc9981" </w:instrText>
      </w:r>
      <w:r>
        <w:fldChar w:fldCharType="separate"/>
      </w:r>
      <w:r>
        <w:rPr>
          <w:rFonts w:hint="eastAsia" w:cs="宋体" w:asciiTheme="minorEastAsia" w:hAnsiTheme="minorEastAsia" w:eastAsiaTheme="minorEastAsia"/>
        </w:rPr>
        <w:t>七、付款方式</w:t>
      </w:r>
      <w:r>
        <w:tab/>
      </w:r>
      <w:r>
        <w:fldChar w:fldCharType="begin"/>
      </w:r>
      <w:r>
        <w:instrText xml:space="preserve"> PAGEREF _Toc9981 \h </w:instrText>
      </w:r>
      <w:r>
        <w:fldChar w:fldCharType="separate"/>
      </w:r>
      <w:r>
        <w:t>13</w:t>
      </w:r>
      <w:r>
        <w:fldChar w:fldCharType="end"/>
      </w:r>
      <w:r>
        <w:fldChar w:fldCharType="end"/>
      </w:r>
    </w:p>
    <w:p>
      <w:pPr>
        <w:pStyle w:val="36"/>
        <w:tabs>
          <w:tab w:val="right" w:leader="dot" w:pos="9180"/>
        </w:tabs>
      </w:pPr>
      <w:r>
        <w:fldChar w:fldCharType="begin"/>
      </w:r>
      <w:r>
        <w:instrText xml:space="preserve"> HYPERLINK \l "_Toc24331" </w:instrText>
      </w:r>
      <w:r>
        <w:fldChar w:fldCharType="separate"/>
      </w:r>
      <w:r>
        <w:rPr>
          <w:rFonts w:hint="eastAsia"/>
          <w:szCs w:val="28"/>
        </w:rPr>
        <w:t>第三章评标方法和标准</w:t>
      </w:r>
      <w:r>
        <w:tab/>
      </w:r>
      <w:r>
        <w:fldChar w:fldCharType="begin"/>
      </w:r>
      <w:r>
        <w:instrText xml:space="preserve"> PAGEREF _Toc24331 \h </w:instrText>
      </w:r>
      <w:r>
        <w:fldChar w:fldCharType="separate"/>
      </w:r>
      <w:r>
        <w:t>14</w:t>
      </w:r>
      <w:r>
        <w:fldChar w:fldCharType="end"/>
      </w:r>
      <w:r>
        <w:fldChar w:fldCharType="end"/>
      </w:r>
    </w:p>
    <w:p>
      <w:pPr>
        <w:pStyle w:val="36"/>
        <w:tabs>
          <w:tab w:val="right" w:leader="dot" w:pos="9180"/>
        </w:tabs>
      </w:pPr>
      <w:r>
        <w:fldChar w:fldCharType="begin"/>
      </w:r>
      <w:r>
        <w:instrText xml:space="preserve"> HYPERLINK \l "_Toc15502" </w:instrText>
      </w:r>
      <w:r>
        <w:fldChar w:fldCharType="separate"/>
      </w:r>
      <w:r>
        <w:rPr>
          <w:rFonts w:hint="eastAsia"/>
          <w:szCs w:val="28"/>
        </w:rPr>
        <w:t>第四章投标人须知</w:t>
      </w:r>
      <w:r>
        <w:tab/>
      </w:r>
      <w:r>
        <w:fldChar w:fldCharType="begin"/>
      </w:r>
      <w:r>
        <w:instrText xml:space="preserve"> PAGEREF _Toc15502 \h </w:instrText>
      </w:r>
      <w:r>
        <w:fldChar w:fldCharType="separate"/>
      </w:r>
      <w:r>
        <w:t>21</w:t>
      </w:r>
      <w:r>
        <w:fldChar w:fldCharType="end"/>
      </w:r>
      <w:r>
        <w:fldChar w:fldCharType="end"/>
      </w:r>
    </w:p>
    <w:p>
      <w:pPr>
        <w:pStyle w:val="45"/>
        <w:tabs>
          <w:tab w:val="right" w:leader="dot" w:pos="9180"/>
        </w:tabs>
      </w:pPr>
      <w:r>
        <w:fldChar w:fldCharType="begin"/>
      </w:r>
      <w:r>
        <w:instrText xml:space="preserve"> HYPERLINK \l "_Toc25197" </w:instrText>
      </w:r>
      <w:r>
        <w:fldChar w:fldCharType="separate"/>
      </w:r>
      <w:r>
        <w:rPr>
          <w:rFonts w:hint="eastAsia"/>
          <w:bCs/>
          <w:szCs w:val="28"/>
        </w:rPr>
        <w:t>第一部分投标人须知前附表</w:t>
      </w:r>
      <w:r>
        <w:tab/>
      </w:r>
      <w:r>
        <w:fldChar w:fldCharType="begin"/>
      </w:r>
      <w:r>
        <w:instrText xml:space="preserve"> PAGEREF _Toc25197 \h </w:instrText>
      </w:r>
      <w:r>
        <w:fldChar w:fldCharType="separate"/>
      </w:r>
      <w:r>
        <w:t>21</w:t>
      </w:r>
      <w:r>
        <w:fldChar w:fldCharType="end"/>
      </w:r>
      <w:r>
        <w:fldChar w:fldCharType="end"/>
      </w:r>
    </w:p>
    <w:p>
      <w:pPr>
        <w:pStyle w:val="45"/>
        <w:tabs>
          <w:tab w:val="right" w:leader="dot" w:pos="9180"/>
        </w:tabs>
      </w:pPr>
      <w:r>
        <w:fldChar w:fldCharType="begin"/>
      </w:r>
      <w:r>
        <w:instrText xml:space="preserve"> HYPERLINK \l "_Toc1863" </w:instrText>
      </w:r>
      <w:r>
        <w:fldChar w:fldCharType="separate"/>
      </w:r>
      <w:r>
        <w:rPr>
          <w:rFonts w:hint="eastAsia"/>
          <w:bCs/>
          <w:szCs w:val="28"/>
        </w:rPr>
        <w:t>第二部分投标人须知通用条款</w:t>
      </w:r>
      <w:r>
        <w:tab/>
      </w:r>
      <w:r>
        <w:fldChar w:fldCharType="begin"/>
      </w:r>
      <w:r>
        <w:instrText xml:space="preserve"> PAGEREF _Toc1863 \h </w:instrText>
      </w:r>
      <w:r>
        <w:fldChar w:fldCharType="separate"/>
      </w:r>
      <w:r>
        <w:t>23</w:t>
      </w:r>
      <w:r>
        <w:fldChar w:fldCharType="end"/>
      </w:r>
      <w:r>
        <w:fldChar w:fldCharType="end"/>
      </w:r>
    </w:p>
    <w:p>
      <w:pPr>
        <w:pStyle w:val="28"/>
        <w:tabs>
          <w:tab w:val="right" w:leader="dot" w:pos="9180"/>
        </w:tabs>
      </w:pPr>
      <w:r>
        <w:fldChar w:fldCharType="begin"/>
      </w:r>
      <w:r>
        <w:instrText xml:space="preserve"> HYPERLINK \l "_Toc8264" </w:instrText>
      </w:r>
      <w:r>
        <w:fldChar w:fldCharType="separate"/>
      </w:r>
      <w:r>
        <w:rPr>
          <w:rFonts w:hint="eastAsia" w:ascii="宋体" w:hAnsi="宋体"/>
          <w:szCs w:val="28"/>
        </w:rPr>
        <w:t>一、 总则</w:t>
      </w:r>
      <w:r>
        <w:tab/>
      </w:r>
      <w:r>
        <w:fldChar w:fldCharType="begin"/>
      </w:r>
      <w:r>
        <w:instrText xml:space="preserve"> PAGEREF _Toc8264 \h </w:instrText>
      </w:r>
      <w:r>
        <w:fldChar w:fldCharType="separate"/>
      </w:r>
      <w:r>
        <w:t>23</w:t>
      </w:r>
      <w:r>
        <w:fldChar w:fldCharType="end"/>
      </w:r>
      <w:r>
        <w:fldChar w:fldCharType="end"/>
      </w:r>
    </w:p>
    <w:p>
      <w:pPr>
        <w:pStyle w:val="28"/>
        <w:tabs>
          <w:tab w:val="right" w:leader="dot" w:pos="9180"/>
        </w:tabs>
      </w:pPr>
      <w:r>
        <w:fldChar w:fldCharType="begin"/>
      </w:r>
      <w:r>
        <w:instrText xml:space="preserve"> HYPERLINK \l "_Toc7626" </w:instrText>
      </w:r>
      <w:r>
        <w:fldChar w:fldCharType="separate"/>
      </w:r>
      <w:r>
        <w:rPr>
          <w:rFonts w:hint="eastAsia" w:ascii="宋体" w:hAnsi="宋体"/>
          <w:szCs w:val="28"/>
          <w:lang w:eastAsia="zh-TW"/>
        </w:rPr>
        <w:t>二、 招标文件</w:t>
      </w:r>
      <w:r>
        <w:tab/>
      </w:r>
      <w:r>
        <w:fldChar w:fldCharType="begin"/>
      </w:r>
      <w:r>
        <w:instrText xml:space="preserve"> PAGEREF _Toc7626 \h </w:instrText>
      </w:r>
      <w:r>
        <w:fldChar w:fldCharType="separate"/>
      </w:r>
      <w:r>
        <w:t>24</w:t>
      </w:r>
      <w:r>
        <w:fldChar w:fldCharType="end"/>
      </w:r>
      <w:r>
        <w:fldChar w:fldCharType="end"/>
      </w:r>
    </w:p>
    <w:p>
      <w:pPr>
        <w:pStyle w:val="28"/>
        <w:tabs>
          <w:tab w:val="right" w:leader="dot" w:pos="9180"/>
        </w:tabs>
      </w:pPr>
      <w:r>
        <w:fldChar w:fldCharType="begin"/>
      </w:r>
      <w:r>
        <w:instrText xml:space="preserve"> HYPERLINK \l "_Toc28195" </w:instrText>
      </w:r>
      <w:r>
        <w:fldChar w:fldCharType="separate"/>
      </w:r>
      <w:r>
        <w:rPr>
          <w:rFonts w:hint="eastAsia" w:ascii="宋体" w:hAnsi="宋体"/>
          <w:szCs w:val="28"/>
          <w:lang w:eastAsia="zh-TW"/>
        </w:rPr>
        <w:t>三、 投标文件的编制</w:t>
      </w:r>
      <w:r>
        <w:tab/>
      </w:r>
      <w:r>
        <w:fldChar w:fldCharType="begin"/>
      </w:r>
      <w:r>
        <w:instrText xml:space="preserve"> PAGEREF _Toc28195 \h </w:instrText>
      </w:r>
      <w:r>
        <w:fldChar w:fldCharType="separate"/>
      </w:r>
      <w:r>
        <w:t>25</w:t>
      </w:r>
      <w:r>
        <w:fldChar w:fldCharType="end"/>
      </w:r>
      <w:r>
        <w:fldChar w:fldCharType="end"/>
      </w:r>
    </w:p>
    <w:p>
      <w:pPr>
        <w:pStyle w:val="28"/>
        <w:tabs>
          <w:tab w:val="right" w:leader="dot" w:pos="9180"/>
        </w:tabs>
      </w:pPr>
      <w:r>
        <w:fldChar w:fldCharType="begin"/>
      </w:r>
      <w:r>
        <w:instrText xml:space="preserve"> HYPERLINK \l "_Toc31533" </w:instrText>
      </w:r>
      <w:r>
        <w:fldChar w:fldCharType="separate"/>
      </w:r>
      <w:r>
        <w:rPr>
          <w:rFonts w:hint="eastAsia" w:ascii="宋体" w:hAnsi="宋体"/>
          <w:szCs w:val="28"/>
          <w:lang w:eastAsia="zh-TW"/>
        </w:rPr>
        <w:t>四、 投标文件的递交</w:t>
      </w:r>
      <w:r>
        <w:tab/>
      </w:r>
      <w:r>
        <w:fldChar w:fldCharType="begin"/>
      </w:r>
      <w:r>
        <w:instrText xml:space="preserve"> PAGEREF _Toc31533 \h </w:instrText>
      </w:r>
      <w:r>
        <w:fldChar w:fldCharType="separate"/>
      </w:r>
      <w:r>
        <w:t>28</w:t>
      </w:r>
      <w:r>
        <w:fldChar w:fldCharType="end"/>
      </w:r>
      <w:r>
        <w:fldChar w:fldCharType="end"/>
      </w:r>
    </w:p>
    <w:p>
      <w:pPr>
        <w:pStyle w:val="28"/>
        <w:tabs>
          <w:tab w:val="right" w:leader="dot" w:pos="9180"/>
        </w:tabs>
      </w:pPr>
      <w:r>
        <w:fldChar w:fldCharType="begin"/>
      </w:r>
      <w:r>
        <w:instrText xml:space="preserve"> HYPERLINK \l "_Toc4031" </w:instrText>
      </w:r>
      <w:r>
        <w:fldChar w:fldCharType="separate"/>
      </w:r>
      <w:r>
        <w:rPr>
          <w:rFonts w:hint="eastAsia" w:ascii="宋体" w:hAnsi="宋体"/>
          <w:szCs w:val="28"/>
          <w:lang w:eastAsia="zh-TW"/>
        </w:rPr>
        <w:t>五、 开标、评标、定标与合同签订</w:t>
      </w:r>
      <w:r>
        <w:tab/>
      </w:r>
      <w:r>
        <w:fldChar w:fldCharType="begin"/>
      </w:r>
      <w:r>
        <w:instrText xml:space="preserve"> PAGEREF _Toc4031 \h </w:instrText>
      </w:r>
      <w:r>
        <w:fldChar w:fldCharType="separate"/>
      </w:r>
      <w:r>
        <w:t>29</w:t>
      </w:r>
      <w:r>
        <w:fldChar w:fldCharType="end"/>
      </w:r>
      <w:r>
        <w:fldChar w:fldCharType="end"/>
      </w:r>
    </w:p>
    <w:p>
      <w:pPr>
        <w:pStyle w:val="28"/>
        <w:tabs>
          <w:tab w:val="right" w:leader="dot" w:pos="9180"/>
        </w:tabs>
      </w:pPr>
      <w:r>
        <w:fldChar w:fldCharType="begin"/>
      </w:r>
      <w:r>
        <w:instrText xml:space="preserve"> HYPERLINK \l "_Toc15653" </w:instrText>
      </w:r>
      <w:r>
        <w:fldChar w:fldCharType="separate"/>
      </w:r>
      <w:r>
        <w:rPr>
          <w:rFonts w:hint="eastAsia" w:ascii="宋体" w:hAnsi="宋体"/>
          <w:szCs w:val="28"/>
          <w:lang w:eastAsia="zh-TW"/>
        </w:rPr>
        <w:t>六、 询问、质疑与投诉</w:t>
      </w:r>
      <w:r>
        <w:tab/>
      </w:r>
      <w:r>
        <w:fldChar w:fldCharType="begin"/>
      </w:r>
      <w:r>
        <w:instrText xml:space="preserve"> PAGEREF _Toc15653 \h </w:instrText>
      </w:r>
      <w:r>
        <w:fldChar w:fldCharType="separate"/>
      </w:r>
      <w:r>
        <w:t>33</w:t>
      </w:r>
      <w:r>
        <w:fldChar w:fldCharType="end"/>
      </w:r>
      <w:r>
        <w:fldChar w:fldCharType="end"/>
      </w:r>
    </w:p>
    <w:p>
      <w:pPr>
        <w:pStyle w:val="36"/>
        <w:tabs>
          <w:tab w:val="right" w:leader="dot" w:pos="9180"/>
        </w:tabs>
      </w:pPr>
      <w:r>
        <w:fldChar w:fldCharType="begin"/>
      </w:r>
      <w:r>
        <w:instrText xml:space="preserve"> HYPERLINK \l "_Toc22802" </w:instrText>
      </w:r>
      <w:r>
        <w:fldChar w:fldCharType="separate"/>
      </w:r>
      <w:r>
        <w:rPr>
          <w:rFonts w:hint="eastAsia"/>
          <w:szCs w:val="28"/>
        </w:rPr>
        <w:t>第五章合同格式条款</w:t>
      </w:r>
      <w:r>
        <w:tab/>
      </w:r>
      <w:r>
        <w:fldChar w:fldCharType="begin"/>
      </w:r>
      <w:r>
        <w:instrText xml:space="preserve"> PAGEREF _Toc22802 \h </w:instrText>
      </w:r>
      <w:r>
        <w:fldChar w:fldCharType="separate"/>
      </w:r>
      <w:r>
        <w:t>39</w:t>
      </w:r>
      <w:r>
        <w:fldChar w:fldCharType="end"/>
      </w:r>
      <w:r>
        <w:fldChar w:fldCharType="end"/>
      </w:r>
    </w:p>
    <w:p>
      <w:pPr>
        <w:pStyle w:val="36"/>
        <w:tabs>
          <w:tab w:val="right" w:leader="dot" w:pos="9180"/>
        </w:tabs>
      </w:pPr>
      <w:r>
        <w:fldChar w:fldCharType="begin"/>
      </w:r>
      <w:r>
        <w:instrText xml:space="preserve"> HYPERLINK \l "_Toc10394" </w:instrText>
      </w:r>
      <w:r>
        <w:fldChar w:fldCharType="separate"/>
      </w:r>
      <w:r>
        <w:rPr>
          <w:rFonts w:hint="eastAsia"/>
          <w:szCs w:val="28"/>
        </w:rPr>
        <w:t>第六章投标文件格式</w:t>
      </w:r>
      <w:r>
        <w:tab/>
      </w:r>
      <w:r>
        <w:fldChar w:fldCharType="begin"/>
      </w:r>
      <w:r>
        <w:instrText xml:space="preserve"> PAGEREF _Toc10394 \h </w:instrText>
      </w:r>
      <w:r>
        <w:fldChar w:fldCharType="separate"/>
      </w:r>
      <w:r>
        <w:t>49</w:t>
      </w:r>
      <w:r>
        <w:fldChar w:fldCharType="end"/>
      </w:r>
      <w:r>
        <w:fldChar w:fldCharType="end"/>
      </w:r>
    </w:p>
    <w:p>
      <w:pPr>
        <w:jc w:val="center"/>
        <w:rPr>
          <w:rFonts w:ascii="宋体" w:hAnsi="宋体"/>
          <w:strike/>
          <w:sz w:val="24"/>
        </w:rPr>
      </w:pPr>
      <w:r>
        <w:rPr>
          <w:rFonts w:cs="Calibri" w:asciiTheme="minorEastAsia" w:hAnsiTheme="minorEastAsia" w:eastAsiaTheme="minorEastAsia"/>
          <w:bCs/>
          <w:caps/>
          <w:szCs w:val="32"/>
        </w:rPr>
        <w:fldChar w:fldCharType="end"/>
      </w:r>
    </w:p>
    <w:p>
      <w:pPr>
        <w:widowControl/>
        <w:jc w:val="left"/>
        <w:rPr>
          <w:b/>
          <w:bCs/>
          <w:sz w:val="28"/>
          <w:szCs w:val="28"/>
        </w:rPr>
      </w:pPr>
      <w:bookmarkStart w:id="6" w:name="_Toc13067016"/>
      <w:r>
        <w:rPr>
          <w:b/>
          <w:bCs/>
          <w:sz w:val="28"/>
          <w:szCs w:val="28"/>
        </w:rPr>
        <w:br w:type="page"/>
      </w:r>
    </w:p>
    <w:p>
      <w:pPr>
        <w:widowControl/>
        <w:spacing w:line="360" w:lineRule="auto"/>
        <w:jc w:val="center"/>
        <w:outlineLvl w:val="0"/>
        <w:rPr>
          <w:b/>
          <w:bCs/>
          <w:sz w:val="30"/>
          <w:szCs w:val="30"/>
        </w:rPr>
      </w:pPr>
      <w:bookmarkStart w:id="7" w:name="_Toc29574"/>
      <w:r>
        <w:rPr>
          <w:rFonts w:hint="eastAsia"/>
          <w:b/>
          <w:bCs/>
          <w:sz w:val="28"/>
          <w:szCs w:val="28"/>
        </w:rPr>
        <w:t>第一</w:t>
      </w:r>
      <w:r>
        <w:rPr>
          <w:b/>
          <w:bCs/>
          <w:sz w:val="28"/>
          <w:szCs w:val="28"/>
        </w:rPr>
        <w:t>章</w:t>
      </w:r>
      <w:r>
        <w:rPr>
          <w:rFonts w:hint="eastAsia"/>
          <w:b/>
          <w:bCs/>
          <w:sz w:val="28"/>
          <w:szCs w:val="28"/>
        </w:rPr>
        <w:t xml:space="preserve">  </w:t>
      </w:r>
      <w:bookmarkEnd w:id="4"/>
      <w:bookmarkEnd w:id="5"/>
      <w:bookmarkEnd w:id="6"/>
      <w:r>
        <w:rPr>
          <w:rFonts w:hint="eastAsia"/>
          <w:b/>
          <w:bCs/>
          <w:sz w:val="28"/>
          <w:szCs w:val="28"/>
        </w:rPr>
        <w:t>采购公告</w:t>
      </w:r>
      <w:bookmarkEnd w:id="7"/>
    </w:p>
    <w:p>
      <w:pPr>
        <w:spacing w:line="360" w:lineRule="auto"/>
        <w:ind w:firstLine="480" w:firstLineChars="200"/>
        <w:jc w:val="left"/>
        <w:rPr>
          <w:rFonts w:ascii="宋体" w:hAnsi="宋体"/>
          <w:sz w:val="24"/>
        </w:rPr>
      </w:pPr>
      <w:bookmarkStart w:id="8" w:name="_Toc435514843"/>
      <w:bookmarkStart w:id="9" w:name="_Toc435115052"/>
      <w:r>
        <w:rPr>
          <w:rFonts w:hint="eastAsia" w:ascii="宋体" w:hAnsi="宋体"/>
          <w:sz w:val="24"/>
          <w:u w:val="single"/>
        </w:rPr>
        <w:t>广州市白云城市开发投资集团有限公司2023年9月至2024年8月食材配送服务项目</w:t>
      </w:r>
      <w:r>
        <w:rPr>
          <w:rFonts w:ascii="宋体" w:hAnsi="宋体"/>
          <w:sz w:val="24"/>
        </w:rPr>
        <w:t>招标项目的潜在投标人应在</w:t>
      </w:r>
      <w:r>
        <w:rPr>
          <w:rFonts w:hint="eastAsia" w:ascii="宋体" w:hAnsi="宋体"/>
          <w:sz w:val="24"/>
          <w:u w:val="single"/>
        </w:rPr>
        <w:t>广州市白云区齐富路88号C栋8楼8010室</w:t>
      </w:r>
      <w:r>
        <w:rPr>
          <w:rFonts w:ascii="宋体" w:hAnsi="宋体"/>
          <w:sz w:val="24"/>
        </w:rPr>
        <w:t>获取招标文件，并于</w:t>
      </w:r>
      <w:r>
        <w:rPr>
          <w:rFonts w:ascii="宋体" w:hAnsi="宋体"/>
          <w:sz w:val="24"/>
          <w:u w:val="single"/>
        </w:rPr>
        <w:t>202</w:t>
      </w:r>
      <w:r>
        <w:rPr>
          <w:rFonts w:hint="eastAsia" w:ascii="宋体" w:hAnsi="宋体"/>
          <w:sz w:val="24"/>
          <w:u w:val="single"/>
        </w:rPr>
        <w:t>3</w:t>
      </w:r>
      <w:r>
        <w:rPr>
          <w:rFonts w:ascii="宋体" w:hAnsi="宋体"/>
          <w:sz w:val="24"/>
        </w:rPr>
        <w:t>年</w:t>
      </w:r>
      <w:r>
        <w:rPr>
          <w:rFonts w:hint="eastAsia" w:ascii="宋体" w:hAnsi="宋体"/>
          <w:sz w:val="24"/>
          <w:u w:val="single"/>
          <w:lang w:val="en-US" w:eastAsia="zh-CN"/>
        </w:rPr>
        <w:t>11</w:t>
      </w:r>
      <w:r>
        <w:rPr>
          <w:rFonts w:ascii="宋体" w:hAnsi="宋体"/>
          <w:sz w:val="24"/>
        </w:rPr>
        <w:t>月</w:t>
      </w:r>
      <w:r>
        <w:rPr>
          <w:rFonts w:hint="eastAsia" w:ascii="宋体" w:hAnsi="宋体"/>
          <w:sz w:val="24"/>
          <w:u w:val="single"/>
          <w:lang w:val="en-US" w:eastAsia="zh-CN"/>
        </w:rPr>
        <w:t>03</w:t>
      </w:r>
      <w:r>
        <w:rPr>
          <w:rFonts w:ascii="宋体" w:hAnsi="宋体"/>
          <w:sz w:val="24"/>
        </w:rPr>
        <w:t>日</w:t>
      </w:r>
      <w:r>
        <w:rPr>
          <w:rFonts w:hint="eastAsia" w:ascii="宋体" w:hAnsi="宋体"/>
          <w:sz w:val="24"/>
          <w:u w:val="single"/>
          <w:lang w:val="en-US" w:eastAsia="zh-CN"/>
        </w:rPr>
        <w:t>09</w:t>
      </w:r>
      <w:r>
        <w:rPr>
          <w:rFonts w:ascii="宋体" w:hAnsi="宋体"/>
          <w:sz w:val="24"/>
        </w:rPr>
        <w:t>点</w:t>
      </w:r>
      <w:r>
        <w:rPr>
          <w:rFonts w:hint="eastAsia" w:ascii="宋体" w:hAnsi="宋体"/>
          <w:sz w:val="24"/>
          <w:u w:val="single"/>
          <w:lang w:val="en-US" w:eastAsia="zh-CN"/>
        </w:rPr>
        <w:t>30</w:t>
      </w:r>
      <w:r>
        <w:rPr>
          <w:rFonts w:ascii="宋体" w:hAnsi="宋体"/>
          <w:sz w:val="24"/>
        </w:rPr>
        <w:t>分（北京时间）前递交投标文件。</w:t>
      </w:r>
    </w:p>
    <w:p>
      <w:pPr>
        <w:spacing w:line="360" w:lineRule="auto"/>
        <w:ind w:firstLine="482" w:firstLineChars="200"/>
        <w:rPr>
          <w:rFonts w:ascii="宋体" w:hAnsi="宋体"/>
          <w:b/>
          <w:bCs/>
          <w:sz w:val="24"/>
        </w:rPr>
      </w:pPr>
      <w:r>
        <w:rPr>
          <w:rFonts w:hint="eastAsia" w:ascii="宋体" w:hAnsi="宋体"/>
          <w:b/>
          <w:bCs/>
          <w:sz w:val="24"/>
        </w:rPr>
        <w:t>一、项目基本情况</w:t>
      </w:r>
    </w:p>
    <w:p>
      <w:pPr>
        <w:spacing w:line="360" w:lineRule="auto"/>
        <w:ind w:firstLine="480" w:firstLineChars="200"/>
        <w:rPr>
          <w:rFonts w:ascii="宋体" w:hAnsi="宋体"/>
          <w:sz w:val="24"/>
        </w:rPr>
      </w:pPr>
      <w:r>
        <w:rPr>
          <w:rFonts w:hint="eastAsia" w:ascii="宋体" w:hAnsi="宋体"/>
          <w:sz w:val="24"/>
        </w:rPr>
        <w:t>项目编号：</w:t>
      </w:r>
      <w:r>
        <w:rPr>
          <w:rFonts w:hint="eastAsia" w:ascii="宋体" w:hAnsi="宋体"/>
          <w:sz w:val="24"/>
          <w:u w:val="single"/>
        </w:rPr>
        <w:t>BYJSCG-23-0005</w:t>
      </w:r>
    </w:p>
    <w:p>
      <w:pPr>
        <w:spacing w:line="360" w:lineRule="auto"/>
        <w:ind w:firstLine="480" w:firstLineChars="200"/>
        <w:rPr>
          <w:rFonts w:ascii="宋体" w:hAnsi="宋体"/>
          <w:sz w:val="24"/>
        </w:rPr>
      </w:pPr>
      <w:r>
        <w:rPr>
          <w:rFonts w:hint="eastAsia" w:ascii="宋体" w:hAnsi="宋体"/>
          <w:sz w:val="24"/>
        </w:rPr>
        <w:t>项目名称：</w:t>
      </w:r>
      <w:r>
        <w:rPr>
          <w:rFonts w:hint="eastAsia" w:ascii="宋体" w:hAnsi="宋体"/>
          <w:sz w:val="24"/>
          <w:u w:val="single"/>
        </w:rPr>
        <w:t>广州市白云城市开发投资集团有限公司2023年9月至2024年8月食材配送服务项目</w:t>
      </w:r>
    </w:p>
    <w:p>
      <w:pPr>
        <w:spacing w:line="360" w:lineRule="auto"/>
        <w:ind w:firstLine="480" w:firstLineChars="200"/>
        <w:rPr>
          <w:rFonts w:ascii="宋体" w:hAnsi="宋体"/>
          <w:sz w:val="24"/>
        </w:rPr>
      </w:pPr>
      <w:r>
        <w:rPr>
          <w:rFonts w:hint="eastAsia" w:ascii="宋体" w:hAnsi="宋体"/>
          <w:sz w:val="24"/>
        </w:rPr>
        <w:t>预算金额（元）：</w:t>
      </w:r>
      <w:r>
        <w:rPr>
          <w:rFonts w:hint="eastAsia" w:ascii="宋体" w:hAnsi="宋体"/>
          <w:sz w:val="24"/>
          <w:u w:val="single"/>
        </w:rPr>
        <w:t>1680000.00元，每月单价为140000.00元；</w:t>
      </w:r>
    </w:p>
    <w:p>
      <w:pPr>
        <w:spacing w:line="360" w:lineRule="auto"/>
        <w:ind w:firstLine="480" w:firstLineChars="200"/>
        <w:rPr>
          <w:rFonts w:ascii="宋体" w:hAnsi="宋体"/>
          <w:sz w:val="24"/>
        </w:rPr>
      </w:pPr>
      <w:r>
        <w:rPr>
          <w:rFonts w:hint="eastAsia" w:ascii="宋体" w:hAnsi="宋体"/>
          <w:sz w:val="24"/>
        </w:rPr>
        <w:t>最高投标限价（元）：</w:t>
      </w:r>
      <w:r>
        <w:rPr>
          <w:rFonts w:hint="eastAsia" w:ascii="宋体" w:hAnsi="宋体"/>
          <w:sz w:val="24"/>
          <w:u w:val="single"/>
        </w:rPr>
        <w:t>1680000.00元，每月单价限价为140000.00元；</w:t>
      </w:r>
    </w:p>
    <w:p>
      <w:pPr>
        <w:spacing w:line="360" w:lineRule="auto"/>
        <w:ind w:firstLine="480" w:firstLineChars="200"/>
        <w:rPr>
          <w:rFonts w:ascii="宋体" w:hAnsi="宋体"/>
          <w:sz w:val="24"/>
        </w:rPr>
      </w:pPr>
      <w:r>
        <w:rPr>
          <w:rFonts w:hint="eastAsia" w:ascii="宋体" w:hAnsi="宋体"/>
          <w:sz w:val="24"/>
        </w:rPr>
        <w:t>采购需求：（包括但不限于标的的名称、数量、简要技术需求或服务要求等）</w:t>
      </w:r>
    </w:p>
    <w:p>
      <w:pPr>
        <w:spacing w:line="360" w:lineRule="auto"/>
        <w:ind w:firstLine="480" w:firstLineChars="200"/>
        <w:rPr>
          <w:rFonts w:ascii="宋体" w:hAnsi="宋体"/>
          <w:sz w:val="24"/>
        </w:rPr>
      </w:pPr>
      <w:r>
        <w:rPr>
          <w:rFonts w:ascii="宋体" w:hAnsi="宋体"/>
          <w:sz w:val="24"/>
        </w:rPr>
        <w:t>1、标的名称：</w:t>
      </w:r>
      <w:r>
        <w:rPr>
          <w:rFonts w:hint="eastAsia" w:ascii="宋体" w:hAnsi="宋体"/>
          <w:sz w:val="24"/>
          <w:u w:val="single"/>
        </w:rPr>
        <w:t>广州市白云城市开发投资集团有限公司2023年9月至2024年8月食材配送服务项目</w:t>
      </w:r>
      <w:bookmarkStart w:id="106" w:name="_GoBack"/>
      <w:bookmarkEnd w:id="106"/>
    </w:p>
    <w:p>
      <w:pPr>
        <w:spacing w:line="360" w:lineRule="auto"/>
        <w:ind w:firstLine="480" w:firstLineChars="200"/>
        <w:rPr>
          <w:rFonts w:ascii="宋体" w:hAnsi="宋体"/>
          <w:sz w:val="24"/>
          <w:u w:val="single"/>
        </w:rPr>
      </w:pPr>
      <w:r>
        <w:rPr>
          <w:rFonts w:ascii="宋体" w:hAnsi="宋体"/>
          <w:sz w:val="24"/>
        </w:rPr>
        <w:t>2、标的数量：</w:t>
      </w:r>
      <w:r>
        <w:rPr>
          <w:rFonts w:hint="eastAsia" w:ascii="宋体" w:hAnsi="宋体"/>
          <w:sz w:val="24"/>
          <w:u w:val="single"/>
        </w:rPr>
        <w:t>1项</w:t>
      </w:r>
    </w:p>
    <w:p>
      <w:pPr>
        <w:spacing w:line="360" w:lineRule="auto"/>
        <w:ind w:firstLine="480" w:firstLineChars="200"/>
        <w:rPr>
          <w:rFonts w:ascii="宋体" w:hAnsi="宋体"/>
          <w:sz w:val="24"/>
        </w:rPr>
      </w:pPr>
      <w:r>
        <w:rPr>
          <w:rFonts w:ascii="宋体" w:hAnsi="宋体"/>
          <w:sz w:val="24"/>
        </w:rPr>
        <w:t>3、简要技术需求或服务要求</w:t>
      </w:r>
      <w:r>
        <w:rPr>
          <w:rFonts w:hint="eastAsia" w:ascii="宋体" w:hAnsi="宋体"/>
          <w:sz w:val="24"/>
        </w:rPr>
        <w:t>：</w:t>
      </w:r>
    </w:p>
    <w:p>
      <w:pPr>
        <w:spacing w:line="360" w:lineRule="auto"/>
        <w:ind w:firstLine="480" w:firstLineChars="200"/>
        <w:rPr>
          <w:rFonts w:ascii="宋体" w:hAnsi="宋体"/>
          <w:kern w:val="0"/>
          <w:sz w:val="24"/>
        </w:rPr>
      </w:pPr>
      <w:r>
        <w:rPr>
          <w:rFonts w:hint="eastAsia" w:ascii="宋体" w:hAnsi="宋体"/>
          <w:kern w:val="0"/>
          <w:sz w:val="24"/>
        </w:rPr>
        <w:t>（一）</w:t>
      </w:r>
      <w:r>
        <w:rPr>
          <w:rFonts w:hint="eastAsia" w:ascii="宋体" w:hAnsi="宋体"/>
          <w:kern w:val="0"/>
          <w:sz w:val="24"/>
        </w:rPr>
        <w:tab/>
      </w:r>
      <w:r>
        <w:rPr>
          <w:rFonts w:hint="eastAsia" w:ascii="宋体" w:hAnsi="宋体"/>
          <w:kern w:val="0"/>
          <w:sz w:val="24"/>
        </w:rPr>
        <w:tab/>
      </w:r>
      <w:r>
        <w:rPr>
          <w:rFonts w:hint="eastAsia" w:ascii="宋体" w:hAnsi="宋体"/>
          <w:kern w:val="0"/>
          <w:sz w:val="24"/>
        </w:rPr>
        <w:t>采购项目内容</w:t>
      </w:r>
    </w:p>
    <w:tbl>
      <w:tblPr>
        <w:tblStyle w:val="55"/>
        <w:tblW w:w="99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00"/>
        <w:gridCol w:w="1290"/>
        <w:gridCol w:w="1215"/>
        <w:gridCol w:w="2269"/>
        <w:gridCol w:w="21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pPr>
              <w:spacing w:before="40" w:after="40" w:line="360" w:lineRule="auto"/>
              <w:jc w:val="center"/>
              <w:rPr>
                <w:rFonts w:ascii="宋体" w:hAnsi="宋体"/>
                <w:b/>
                <w:bCs/>
                <w:sz w:val="24"/>
              </w:rPr>
            </w:pPr>
            <w:r>
              <w:rPr>
                <w:rFonts w:ascii="宋体" w:hAnsi="宋体"/>
                <w:b/>
                <w:bCs/>
                <w:sz w:val="24"/>
              </w:rPr>
              <w:t>序号</w:t>
            </w:r>
          </w:p>
        </w:tc>
        <w:tc>
          <w:tcPr>
            <w:tcW w:w="2400" w:type="dxa"/>
            <w:vAlign w:val="center"/>
          </w:tcPr>
          <w:p>
            <w:pPr>
              <w:spacing w:before="40" w:after="40" w:line="360" w:lineRule="auto"/>
              <w:jc w:val="center"/>
              <w:rPr>
                <w:rFonts w:ascii="宋体" w:hAnsi="宋体"/>
                <w:b/>
                <w:bCs/>
                <w:sz w:val="24"/>
              </w:rPr>
            </w:pPr>
            <w:r>
              <w:rPr>
                <w:rFonts w:hint="eastAsia" w:ascii="宋体" w:hAnsi="宋体"/>
                <w:b/>
                <w:bCs/>
                <w:sz w:val="24"/>
              </w:rPr>
              <w:t>服务内容</w:t>
            </w:r>
          </w:p>
        </w:tc>
        <w:tc>
          <w:tcPr>
            <w:tcW w:w="1290" w:type="dxa"/>
            <w:vAlign w:val="center"/>
          </w:tcPr>
          <w:p>
            <w:pPr>
              <w:spacing w:before="40" w:after="40" w:line="360" w:lineRule="auto"/>
              <w:jc w:val="center"/>
              <w:rPr>
                <w:rFonts w:ascii="宋体" w:hAnsi="宋体"/>
                <w:b/>
                <w:bCs/>
                <w:sz w:val="24"/>
              </w:rPr>
            </w:pPr>
            <w:r>
              <w:rPr>
                <w:rFonts w:ascii="宋体" w:hAnsi="宋体"/>
                <w:b/>
                <w:bCs/>
                <w:sz w:val="24"/>
              </w:rPr>
              <w:t>单位</w:t>
            </w:r>
          </w:p>
        </w:tc>
        <w:tc>
          <w:tcPr>
            <w:tcW w:w="1215" w:type="dxa"/>
            <w:vAlign w:val="center"/>
          </w:tcPr>
          <w:p>
            <w:pPr>
              <w:spacing w:before="40" w:after="40" w:line="360" w:lineRule="auto"/>
              <w:jc w:val="center"/>
              <w:rPr>
                <w:rFonts w:ascii="宋体" w:hAnsi="宋体"/>
                <w:b/>
                <w:bCs/>
                <w:sz w:val="24"/>
              </w:rPr>
            </w:pPr>
            <w:r>
              <w:rPr>
                <w:rFonts w:ascii="宋体" w:hAnsi="宋体"/>
                <w:b/>
                <w:bCs/>
                <w:sz w:val="24"/>
              </w:rPr>
              <w:t>数量</w:t>
            </w:r>
          </w:p>
        </w:tc>
        <w:tc>
          <w:tcPr>
            <w:tcW w:w="2269" w:type="dxa"/>
            <w:vAlign w:val="center"/>
          </w:tcPr>
          <w:p>
            <w:pPr>
              <w:spacing w:before="40" w:after="40" w:line="360" w:lineRule="auto"/>
              <w:jc w:val="center"/>
              <w:rPr>
                <w:rFonts w:ascii="宋体" w:hAnsi="宋体"/>
                <w:b/>
                <w:bCs/>
                <w:sz w:val="24"/>
              </w:rPr>
            </w:pPr>
            <w:r>
              <w:rPr>
                <w:rFonts w:hint="eastAsia" w:ascii="宋体" w:hAnsi="宋体"/>
                <w:b/>
                <w:bCs/>
                <w:sz w:val="24"/>
              </w:rPr>
              <w:t>最高投标限价</w:t>
            </w:r>
          </w:p>
        </w:tc>
        <w:tc>
          <w:tcPr>
            <w:tcW w:w="2111" w:type="dxa"/>
            <w:vAlign w:val="center"/>
          </w:tcPr>
          <w:p>
            <w:pPr>
              <w:spacing w:before="40" w:after="40" w:line="360" w:lineRule="auto"/>
              <w:jc w:val="center"/>
              <w:rPr>
                <w:rFonts w:ascii="宋体" w:hAnsi="宋体"/>
                <w:b/>
                <w:bCs/>
                <w:sz w:val="24"/>
              </w:rPr>
            </w:pPr>
            <w:r>
              <w:rPr>
                <w:rFonts w:hint="eastAsia" w:ascii="宋体" w:hAnsi="宋体"/>
                <w:b/>
                <w:bCs/>
                <w:sz w:val="24"/>
              </w:rPr>
              <w:t>每月单价限价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tcBorders>
              <w:bottom w:val="single" w:color="auto" w:sz="12" w:space="0"/>
            </w:tcBorders>
            <w:vAlign w:val="center"/>
          </w:tcPr>
          <w:p>
            <w:pPr>
              <w:spacing w:line="360" w:lineRule="auto"/>
              <w:jc w:val="center"/>
              <w:rPr>
                <w:sz w:val="24"/>
              </w:rPr>
            </w:pPr>
            <w:r>
              <w:rPr>
                <w:rFonts w:hint="eastAsia" w:ascii="宋体" w:hAnsi="宋体"/>
                <w:bCs/>
                <w:sz w:val="24"/>
              </w:rPr>
              <w:t>1</w:t>
            </w:r>
          </w:p>
        </w:tc>
        <w:tc>
          <w:tcPr>
            <w:tcW w:w="2400" w:type="dxa"/>
            <w:tcBorders>
              <w:bottom w:val="single" w:color="auto" w:sz="12" w:space="0"/>
            </w:tcBorders>
            <w:vAlign w:val="center"/>
          </w:tcPr>
          <w:p>
            <w:pPr>
              <w:spacing w:before="40" w:after="40" w:line="360" w:lineRule="auto"/>
              <w:jc w:val="center"/>
              <w:rPr>
                <w:rFonts w:ascii="宋体" w:hAnsi="宋体"/>
                <w:sz w:val="24"/>
              </w:rPr>
            </w:pPr>
            <w:r>
              <w:rPr>
                <w:rFonts w:hint="eastAsia"/>
                <w:sz w:val="24"/>
              </w:rPr>
              <w:t>食材配送服务</w:t>
            </w:r>
          </w:p>
        </w:tc>
        <w:tc>
          <w:tcPr>
            <w:tcW w:w="1290" w:type="dxa"/>
            <w:tcBorders>
              <w:bottom w:val="single" w:color="auto" w:sz="12" w:space="0"/>
            </w:tcBorders>
            <w:vAlign w:val="center"/>
          </w:tcPr>
          <w:p>
            <w:pPr>
              <w:spacing w:before="40" w:after="40" w:line="360" w:lineRule="auto"/>
              <w:jc w:val="center"/>
              <w:rPr>
                <w:rFonts w:ascii="宋体" w:hAnsi="宋体"/>
                <w:sz w:val="24"/>
              </w:rPr>
            </w:pPr>
            <w:r>
              <w:rPr>
                <w:rFonts w:hint="eastAsia"/>
                <w:sz w:val="24"/>
              </w:rPr>
              <w:t>项</w:t>
            </w:r>
          </w:p>
        </w:tc>
        <w:tc>
          <w:tcPr>
            <w:tcW w:w="1215" w:type="dxa"/>
            <w:tcBorders>
              <w:bottom w:val="single" w:color="auto" w:sz="12" w:space="0"/>
            </w:tcBorders>
            <w:vAlign w:val="center"/>
          </w:tcPr>
          <w:p>
            <w:pPr>
              <w:spacing w:before="40" w:after="40" w:line="360" w:lineRule="auto"/>
              <w:jc w:val="center"/>
              <w:rPr>
                <w:rFonts w:ascii="宋体" w:hAnsi="宋体"/>
                <w:sz w:val="24"/>
              </w:rPr>
            </w:pPr>
            <w:r>
              <w:rPr>
                <w:rFonts w:hint="eastAsia"/>
                <w:sz w:val="24"/>
              </w:rPr>
              <w:t>1</w:t>
            </w:r>
          </w:p>
        </w:tc>
        <w:tc>
          <w:tcPr>
            <w:tcW w:w="2269" w:type="dxa"/>
            <w:tcBorders>
              <w:bottom w:val="single" w:color="auto" w:sz="12" w:space="0"/>
            </w:tcBorders>
            <w:vAlign w:val="center"/>
          </w:tcPr>
          <w:p>
            <w:pPr>
              <w:spacing w:before="40" w:after="40" w:line="360" w:lineRule="auto"/>
              <w:jc w:val="center"/>
              <w:rPr>
                <w:sz w:val="24"/>
              </w:rPr>
            </w:pPr>
            <w:r>
              <w:rPr>
                <w:rFonts w:hint="eastAsia" w:ascii="宋体" w:hAnsi="宋体"/>
                <w:sz w:val="24"/>
              </w:rPr>
              <w:t>1680000.00元</w:t>
            </w:r>
          </w:p>
        </w:tc>
        <w:tc>
          <w:tcPr>
            <w:tcW w:w="2111" w:type="dxa"/>
            <w:tcBorders>
              <w:bottom w:val="single" w:color="auto" w:sz="12" w:space="0"/>
            </w:tcBorders>
            <w:vAlign w:val="center"/>
          </w:tcPr>
          <w:p>
            <w:pPr>
              <w:spacing w:before="40" w:after="40" w:line="360" w:lineRule="auto"/>
              <w:jc w:val="center"/>
              <w:rPr>
                <w:rFonts w:ascii="宋体" w:hAnsi="宋体"/>
                <w:sz w:val="24"/>
              </w:rPr>
            </w:pPr>
            <w:r>
              <w:rPr>
                <w:rFonts w:hint="eastAsia" w:ascii="宋体" w:hAnsi="宋体"/>
                <w:sz w:val="24"/>
              </w:rPr>
              <w:t>140000.00元</w:t>
            </w:r>
          </w:p>
        </w:tc>
      </w:tr>
    </w:tbl>
    <w:p>
      <w:pPr>
        <w:spacing w:line="360" w:lineRule="auto"/>
        <w:ind w:firstLine="480" w:firstLineChars="200"/>
        <w:rPr>
          <w:rFonts w:ascii="宋体" w:hAnsi="宋体"/>
          <w:kern w:val="0"/>
          <w:sz w:val="24"/>
        </w:rPr>
      </w:pPr>
      <w:r>
        <w:rPr>
          <w:rFonts w:hint="eastAsia" w:ascii="宋体" w:hAnsi="宋体"/>
          <w:kern w:val="0"/>
          <w:sz w:val="24"/>
        </w:rPr>
        <w:t>详细技术规范请参阅采购文件中的用户需求书。投标人必须对全部内容进行投标报价，如有缺漏或超出最高投标限价或超出每月单价限价，将导致投标无效。</w:t>
      </w:r>
    </w:p>
    <w:p>
      <w:pPr>
        <w:spacing w:line="360" w:lineRule="auto"/>
        <w:ind w:firstLine="480" w:firstLineChars="200"/>
        <w:rPr>
          <w:rFonts w:ascii="宋体" w:hAnsi="宋体"/>
          <w:kern w:val="0"/>
          <w:sz w:val="24"/>
        </w:rPr>
      </w:pPr>
      <w:r>
        <w:rPr>
          <w:rFonts w:hint="eastAsia" w:ascii="宋体" w:hAnsi="宋体"/>
          <w:kern w:val="0"/>
          <w:sz w:val="24"/>
        </w:rPr>
        <w:t>本项目采购本国产品。</w:t>
      </w:r>
    </w:p>
    <w:p>
      <w:pPr>
        <w:autoSpaceDE w:val="0"/>
        <w:autoSpaceDN w:val="0"/>
        <w:spacing w:line="360" w:lineRule="auto"/>
        <w:ind w:firstLine="480" w:firstLineChars="200"/>
        <w:rPr>
          <w:rFonts w:ascii="宋体" w:hAnsi="宋体"/>
          <w:sz w:val="24"/>
        </w:rPr>
      </w:pPr>
      <w:r>
        <w:rPr>
          <w:rFonts w:hint="eastAsia" w:ascii="宋体" w:hAnsi="宋体"/>
          <w:kern w:val="0"/>
          <w:sz w:val="24"/>
        </w:rPr>
        <w:t>（</w:t>
      </w:r>
      <w:r>
        <w:rPr>
          <w:rFonts w:hint="eastAsia" w:ascii="宋体" w:hAnsi="宋体"/>
          <w:kern w:val="0"/>
          <w:sz w:val="24"/>
          <w:lang w:val="en-US" w:eastAsia="zh-CN"/>
        </w:rPr>
        <w:t>二</w:t>
      </w:r>
      <w:r>
        <w:rPr>
          <w:rFonts w:hint="eastAsia" w:ascii="宋体" w:hAnsi="宋体"/>
          <w:kern w:val="0"/>
          <w:sz w:val="24"/>
        </w:rPr>
        <w:t>）</w:t>
      </w:r>
      <w:r>
        <w:rPr>
          <w:rFonts w:hint="eastAsia" w:ascii="宋体" w:hAnsi="宋体"/>
          <w:sz w:val="24"/>
        </w:rPr>
        <w:t>合同履行期限：</w:t>
      </w:r>
      <w:r>
        <w:rPr>
          <w:rFonts w:hint="eastAsia" w:ascii="宋体" w:hAnsi="宋体"/>
          <w:sz w:val="24"/>
          <w:u w:val="single"/>
        </w:rPr>
        <w:t>服务期限为1年。</w:t>
      </w:r>
    </w:p>
    <w:p>
      <w:pPr>
        <w:spacing w:line="360" w:lineRule="auto"/>
        <w:ind w:firstLine="482" w:firstLineChars="200"/>
        <w:rPr>
          <w:rFonts w:ascii="宋体" w:hAnsi="宋体"/>
          <w:b/>
          <w:bCs/>
          <w:sz w:val="24"/>
        </w:rPr>
      </w:pPr>
      <w:r>
        <w:rPr>
          <w:rFonts w:hint="eastAsia" w:ascii="宋体" w:hAnsi="宋体"/>
          <w:b/>
          <w:bCs/>
          <w:sz w:val="24"/>
        </w:rPr>
        <w:t>二、</w:t>
      </w:r>
      <w:r>
        <w:rPr>
          <w:rFonts w:ascii="宋体" w:hAnsi="宋体"/>
          <w:b/>
          <w:bCs/>
          <w:sz w:val="24"/>
        </w:rPr>
        <w:t>申请人的</w:t>
      </w:r>
      <w:r>
        <w:rPr>
          <w:rFonts w:hint="eastAsia" w:ascii="宋体" w:hAnsi="宋体"/>
          <w:b/>
          <w:bCs/>
          <w:sz w:val="24"/>
        </w:rPr>
        <w:t>资格要求</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、投标人参加投标的意思表达清楚，投标人代表被授权有效。</w:t>
      </w:r>
    </w:p>
    <w:p>
      <w:pPr>
        <w:spacing w:line="360" w:lineRule="auto"/>
        <w:ind w:firstLine="480" w:firstLineChars="200"/>
        <w:rPr>
          <w:rFonts w:ascii="宋体" w:hAnsi="宋体"/>
          <w:kern w:val="0"/>
          <w:sz w:val="24"/>
        </w:rPr>
      </w:pPr>
      <w:r>
        <w:rPr>
          <w:rFonts w:hint="eastAsia" w:ascii="宋体" w:hAnsi="宋体"/>
          <w:kern w:val="0"/>
          <w:sz w:val="24"/>
          <w:lang w:val="en-US" w:eastAsia="zh-CN"/>
        </w:rPr>
        <w:t>2、</w:t>
      </w:r>
      <w:r>
        <w:rPr>
          <w:rFonts w:hint="eastAsia" w:ascii="宋体" w:hAnsi="宋体"/>
          <w:kern w:val="0"/>
          <w:sz w:val="24"/>
        </w:rPr>
        <w:t>投标人具有独立法人或其授权的分支机构资格，持有工商行政管理部门核发的法人营业执照或事业单位法人证书或社会团体法人登记证书，按国家法律经营。（提供在中华人民共和国境内注册的法人或其他组织的营业执照或事业单位法人证书或社会团体法人登记证书复印件，如投标人为自然人的提供自然人身份证明复印件；依法经国务院批准免予登记的社会组织的，应提供相应文件证明其依法免予登记；如国家另有规定的，则从其规定。如投标人为分支机构，须取得具有法人资格的总公司出具给分支机构的授权书，并提供总公司和分支机构的营业执照（执业许可证）复印件。已由总公司授权的，总公司取得的相关资质证书对分支机构有效，法律法规或者行业另有规定的除外）。</w:t>
      </w:r>
    </w:p>
    <w:p>
      <w:pPr>
        <w:spacing w:line="360" w:lineRule="auto"/>
        <w:ind w:firstLine="480" w:firstLineChars="200"/>
        <w:rPr>
          <w:rFonts w:hint="eastAsia" w:ascii="宋体" w:hAnsi="宋体" w:eastAsia="宋体"/>
          <w:bCs/>
          <w:kern w:val="0"/>
          <w:sz w:val="24"/>
          <w:lang w:eastAsia="zh-CN"/>
        </w:rPr>
      </w:pPr>
      <w:r>
        <w:rPr>
          <w:rFonts w:hint="eastAsia" w:ascii="宋体" w:hAnsi="宋体"/>
          <w:bCs/>
          <w:kern w:val="0"/>
          <w:sz w:val="24"/>
          <w:lang w:val="en-US" w:eastAsia="zh-CN"/>
        </w:rPr>
        <w:t>3、</w:t>
      </w:r>
      <w:r>
        <w:rPr>
          <w:rFonts w:hint="eastAsia" w:ascii="宋体" w:hAnsi="宋体"/>
          <w:bCs/>
          <w:kern w:val="0"/>
          <w:sz w:val="24"/>
        </w:rPr>
        <w:t>具有</w:t>
      </w:r>
      <w:r>
        <w:rPr>
          <w:rFonts w:hint="eastAsia" w:ascii="宋体" w:hAnsi="宋体" w:eastAsia="宋体" w:cs="Times New Roman"/>
          <w:kern w:val="0"/>
          <w:sz w:val="24"/>
          <w:szCs w:val="24"/>
          <w:lang w:val="en-US" w:eastAsia="zh-CN" w:bidi="ar-SA"/>
        </w:rPr>
        <w:t>良好</w:t>
      </w:r>
      <w:r>
        <w:rPr>
          <w:rFonts w:hint="eastAsia" w:ascii="宋体" w:hAnsi="宋体"/>
          <w:bCs/>
          <w:kern w:val="0"/>
          <w:sz w:val="24"/>
        </w:rPr>
        <w:t>的商业信誉和健全的财务会计制度</w:t>
      </w:r>
      <w:r>
        <w:rPr>
          <w:rFonts w:hint="eastAsia" w:ascii="宋体" w:hAnsi="宋体"/>
          <w:bCs/>
          <w:kern w:val="0"/>
          <w:sz w:val="24"/>
          <w:lang w:eastAsia="zh-CN"/>
        </w:rPr>
        <w:t>，</w:t>
      </w:r>
      <w:r>
        <w:rPr>
          <w:rFonts w:hint="eastAsia" w:ascii="宋体" w:hAnsi="宋体"/>
          <w:bCs/>
          <w:kern w:val="0"/>
          <w:sz w:val="24"/>
        </w:rPr>
        <w:t>有依法缴纳税收和社会保障资金的良好</w:t>
      </w:r>
      <w:r>
        <w:rPr>
          <w:rFonts w:hint="eastAsia" w:ascii="宋体" w:hAnsi="宋体" w:eastAsia="宋体" w:cs="Times New Roman"/>
          <w:kern w:val="0"/>
          <w:sz w:val="24"/>
          <w:szCs w:val="24"/>
          <w:lang w:val="en-US" w:eastAsia="zh-CN" w:bidi="ar-SA"/>
        </w:rPr>
        <w:t>记录</w:t>
      </w:r>
      <w:r>
        <w:rPr>
          <w:rFonts w:hint="eastAsia" w:ascii="宋体" w:hAnsi="宋体"/>
          <w:bCs/>
          <w:kern w:val="0"/>
          <w:sz w:val="24"/>
          <w:lang w:eastAsia="zh-CN"/>
        </w:rPr>
        <w:t>，</w:t>
      </w:r>
      <w:r>
        <w:rPr>
          <w:rFonts w:hint="eastAsia" w:ascii="宋体" w:hAnsi="宋体"/>
          <w:bCs/>
          <w:kern w:val="0"/>
          <w:sz w:val="24"/>
        </w:rPr>
        <w:t>履行合同所必需的设备和专业技术能力（提供《投标人资格声明函》）</w:t>
      </w:r>
      <w:r>
        <w:rPr>
          <w:rFonts w:hint="eastAsia" w:ascii="宋体" w:hAnsi="宋体"/>
          <w:bCs/>
          <w:kern w:val="0"/>
          <w:sz w:val="24"/>
          <w:lang w:eastAsia="zh-CN"/>
        </w:rPr>
        <w:t>。</w:t>
      </w:r>
    </w:p>
    <w:p>
      <w:pPr>
        <w:spacing w:line="360" w:lineRule="auto"/>
        <w:ind w:firstLine="480" w:firstLineChars="200"/>
        <w:rPr>
          <w:rFonts w:hint="eastAsia" w:ascii="宋体" w:hAnsi="宋体" w:eastAsia="宋体"/>
          <w:bCs/>
          <w:kern w:val="0"/>
          <w:sz w:val="24"/>
          <w:lang w:eastAsia="zh-CN"/>
        </w:rPr>
      </w:pPr>
      <w:r>
        <w:rPr>
          <w:rFonts w:hint="eastAsia" w:ascii="宋体" w:hAnsi="宋体"/>
          <w:bCs/>
          <w:kern w:val="0"/>
          <w:sz w:val="24"/>
          <w:lang w:val="en-US" w:eastAsia="zh-CN"/>
        </w:rPr>
        <w:t>4、</w:t>
      </w:r>
      <w:r>
        <w:rPr>
          <w:rFonts w:hint="eastAsia" w:ascii="宋体" w:hAnsi="宋体"/>
          <w:bCs/>
          <w:kern w:val="0"/>
          <w:sz w:val="24"/>
        </w:rPr>
        <w:t>参加采购活动前3年内，在经营活动中没有重大违法记录（提供《投标人资格声明函》）</w:t>
      </w:r>
      <w:r>
        <w:rPr>
          <w:rFonts w:hint="eastAsia" w:ascii="宋体" w:hAnsi="宋体"/>
          <w:bCs/>
          <w:kern w:val="0"/>
          <w:sz w:val="24"/>
          <w:lang w:eastAsia="zh-CN"/>
        </w:rPr>
        <w:t>。</w:t>
      </w:r>
    </w:p>
    <w:p>
      <w:pPr>
        <w:spacing w:line="360" w:lineRule="auto"/>
        <w:ind w:firstLine="480" w:firstLineChars="200"/>
        <w:rPr>
          <w:rFonts w:hint="eastAsia" w:ascii="宋体" w:hAnsi="宋体" w:eastAsia="宋体"/>
          <w:bCs/>
          <w:kern w:val="0"/>
          <w:sz w:val="24"/>
          <w:lang w:eastAsia="zh-CN"/>
        </w:rPr>
      </w:pPr>
      <w:r>
        <w:rPr>
          <w:rFonts w:hint="eastAsia" w:ascii="宋体" w:hAnsi="宋体"/>
          <w:bCs/>
          <w:kern w:val="0"/>
          <w:sz w:val="24"/>
        </w:rPr>
        <w:t>注：重大</w:t>
      </w:r>
      <w:r>
        <w:rPr>
          <w:rFonts w:hint="eastAsia" w:ascii="宋体" w:hAnsi="宋体"/>
          <w:kern w:val="0"/>
          <w:sz w:val="24"/>
        </w:rPr>
        <w:t>违法</w:t>
      </w:r>
      <w:r>
        <w:rPr>
          <w:rFonts w:hint="eastAsia" w:ascii="宋体" w:hAnsi="宋体"/>
          <w:bCs/>
          <w:kern w:val="0"/>
          <w:sz w:val="24"/>
        </w:rPr>
        <w:t>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bCs/>
          <w:kern w:val="0"/>
          <w:sz w:val="24"/>
          <w:lang w:eastAsia="zh-CN"/>
        </w:rPr>
        <w:t>。</w:t>
      </w:r>
    </w:p>
    <w:p>
      <w:pPr>
        <w:spacing w:line="360" w:lineRule="auto"/>
        <w:ind w:firstLine="480" w:firstLineChars="200"/>
        <w:rPr>
          <w:rFonts w:hint="eastAsia" w:ascii="宋体" w:hAnsi="宋体" w:eastAsia="宋体"/>
          <w:bCs/>
          <w:kern w:val="0"/>
          <w:sz w:val="24"/>
          <w:lang w:eastAsia="zh-CN"/>
        </w:rPr>
      </w:pPr>
      <w:r>
        <w:rPr>
          <w:rFonts w:hint="eastAsia" w:ascii="宋体" w:hAnsi="宋体"/>
          <w:bCs/>
          <w:kern w:val="0"/>
          <w:sz w:val="24"/>
          <w:lang w:val="en-US" w:eastAsia="zh-CN"/>
        </w:rPr>
        <w:t>5、</w:t>
      </w:r>
      <w:r>
        <w:rPr>
          <w:rFonts w:hint="eastAsia" w:ascii="宋体" w:hAnsi="宋体"/>
          <w:kern w:val="0"/>
          <w:sz w:val="24"/>
        </w:rPr>
        <w:t>单位</w:t>
      </w:r>
      <w:r>
        <w:rPr>
          <w:rFonts w:hint="eastAsia" w:ascii="宋体" w:hAnsi="宋体"/>
          <w:bCs/>
          <w:kern w:val="0"/>
          <w:sz w:val="24"/>
        </w:rPr>
        <w:t>负责人为同一人或者存在直接控股、管理关系的不同投标人，不得参加同一合同项下的采购活动（提供《投标人资格声明函》）</w:t>
      </w:r>
      <w:r>
        <w:rPr>
          <w:rFonts w:hint="eastAsia" w:ascii="宋体" w:hAnsi="宋体"/>
          <w:bCs/>
          <w:kern w:val="0"/>
          <w:sz w:val="24"/>
          <w:lang w:eastAsia="zh-CN"/>
        </w:rPr>
        <w:t>。</w:t>
      </w:r>
    </w:p>
    <w:p>
      <w:pPr>
        <w:spacing w:line="360" w:lineRule="auto"/>
        <w:ind w:firstLine="480" w:firstLineChars="200"/>
        <w:rPr>
          <w:rFonts w:hint="eastAsia" w:ascii="宋体" w:hAnsi="宋体"/>
          <w:kern w:val="0"/>
          <w:sz w:val="24"/>
        </w:rPr>
      </w:pPr>
      <w:r>
        <w:rPr>
          <w:rFonts w:hint="eastAsia" w:ascii="宋体" w:hAnsi="宋体"/>
          <w:kern w:val="0"/>
          <w:sz w:val="24"/>
          <w:lang w:val="en-US" w:eastAsia="zh-CN"/>
        </w:rPr>
        <w:t>6、</w:t>
      </w:r>
      <w:r>
        <w:rPr>
          <w:rFonts w:hint="eastAsia" w:ascii="宋体" w:hAnsi="宋体"/>
          <w:kern w:val="0"/>
          <w:sz w:val="24"/>
        </w:rPr>
        <w:t>投标人未被列入“信用中国”网站（www.creditchina.gov.cn）“记录失信被执行人或重大税收违法案件当事人名单”记录名单（①以评标委员会于开标当天资格审查时在以上网站的查询结果为准，如在上述网站查询结果均显示没有相关记录，视为没有上述不良信用记录；②若评标委员会在以上网站查询不到该投标人相关记录的，以投标人出具的承诺函为准，并视为没有上述不良信用记录）。</w:t>
      </w:r>
    </w:p>
    <w:p>
      <w:pPr>
        <w:spacing w:line="360" w:lineRule="auto"/>
        <w:ind w:firstLine="480" w:firstLineChars="200"/>
        <w:rPr>
          <w:rFonts w:ascii="宋体" w:hAnsi="宋体"/>
          <w:b/>
          <w:strike/>
          <w:kern w:val="0"/>
          <w:sz w:val="24"/>
        </w:rPr>
      </w:pPr>
      <w:r>
        <w:rPr>
          <w:rFonts w:hint="eastAsia" w:ascii="宋体" w:hAnsi="宋体"/>
          <w:kern w:val="0"/>
          <w:sz w:val="24"/>
          <w:lang w:val="en-US" w:eastAsia="zh-CN"/>
        </w:rPr>
        <w:t>7、</w:t>
      </w:r>
      <w:r>
        <w:rPr>
          <w:rFonts w:hint="eastAsia" w:ascii="宋体" w:hAnsi="宋体"/>
          <w:bCs/>
          <w:kern w:val="0"/>
          <w:sz w:val="24"/>
        </w:rPr>
        <w:t>未进行投标登记的投标人，不得参加本项目的采购活动。</w:t>
      </w:r>
    </w:p>
    <w:p>
      <w:pPr>
        <w:spacing w:line="360" w:lineRule="auto"/>
        <w:ind w:firstLine="480" w:firstLineChars="200"/>
        <w:rPr>
          <w:rFonts w:hint="eastAsia" w:ascii="宋体" w:hAnsi="宋体"/>
          <w:kern w:val="0"/>
          <w:sz w:val="24"/>
          <w:lang w:val="en-US" w:eastAsia="zh-CN"/>
        </w:rPr>
      </w:pPr>
      <w:r>
        <w:rPr>
          <w:rFonts w:hint="eastAsia" w:ascii="宋体" w:hAnsi="宋体"/>
          <w:kern w:val="0"/>
          <w:sz w:val="24"/>
          <w:lang w:val="en-US" w:eastAsia="zh-CN"/>
        </w:rPr>
        <w:t>8、投标人未在以往投标中因不诚信行为或不充分履约行为被本项目招标人书面拒绝投标的；（详见采购公告附件一《被本项目招标人书面拒绝投标的企业名单》）。</w:t>
      </w:r>
    </w:p>
    <w:p>
      <w:pPr>
        <w:spacing w:line="360" w:lineRule="auto"/>
        <w:ind w:firstLine="480" w:firstLineChars="200"/>
        <w:rPr>
          <w:rFonts w:ascii="宋体" w:hAnsi="宋体"/>
          <w:sz w:val="24"/>
        </w:rPr>
      </w:pPr>
      <w:r>
        <w:rPr>
          <w:rFonts w:hint="eastAsia" w:ascii="宋体" w:hAnsi="宋体" w:cs="Times New Roman"/>
          <w:kern w:val="0"/>
          <w:sz w:val="24"/>
          <w:szCs w:val="24"/>
          <w:lang w:val="en-US" w:eastAsia="zh-CN" w:bidi="ar-SA"/>
        </w:rPr>
        <w:t>9</w:t>
      </w:r>
      <w:r>
        <w:rPr>
          <w:rFonts w:hint="eastAsia" w:ascii="宋体" w:hAnsi="宋体" w:eastAsia="宋体" w:cs="Times New Roman"/>
          <w:kern w:val="0"/>
          <w:sz w:val="24"/>
          <w:szCs w:val="24"/>
          <w:lang w:val="en-US" w:eastAsia="zh-CN" w:bidi="ar-SA"/>
        </w:rPr>
        <w:t>、</w:t>
      </w:r>
      <w:r>
        <w:rPr>
          <w:rFonts w:hint="eastAsia" w:ascii="宋体" w:hAnsi="宋体"/>
          <w:sz w:val="24"/>
        </w:rPr>
        <w:t>本项目</w:t>
      </w:r>
      <w:r>
        <w:rPr>
          <w:rFonts w:hint="eastAsia" w:ascii="宋体" w:hAnsi="宋体"/>
          <w:sz w:val="24"/>
          <w:u w:val="single"/>
        </w:rPr>
        <w:t>不接受</w:t>
      </w:r>
      <w:r>
        <w:rPr>
          <w:rFonts w:hint="eastAsia" w:ascii="宋体" w:hAnsi="宋体"/>
          <w:sz w:val="24"/>
        </w:rPr>
        <w:t>联合体投标。</w:t>
      </w:r>
    </w:p>
    <w:p>
      <w:pPr>
        <w:spacing w:line="360" w:lineRule="auto"/>
        <w:ind w:firstLine="480" w:firstLineChars="200"/>
        <w:rPr>
          <w:rFonts w:hint="default" w:ascii="宋体" w:hAnsi="宋体" w:eastAsia="宋体" w:cs="Times New Roman"/>
          <w:kern w:val="0"/>
          <w:sz w:val="24"/>
          <w:szCs w:val="24"/>
          <w:lang w:val="en-US" w:eastAsia="zh-CN" w:bidi="ar-SA"/>
        </w:rPr>
      </w:pPr>
      <w:r>
        <w:rPr>
          <w:rFonts w:hint="eastAsia" w:ascii="宋体" w:hAnsi="宋体"/>
          <w:kern w:val="0"/>
          <w:sz w:val="24"/>
          <w:lang w:val="en-US" w:eastAsia="zh-CN"/>
        </w:rPr>
        <w:t>10、法律</w:t>
      </w:r>
      <w:r>
        <w:rPr>
          <w:rFonts w:hint="eastAsia" w:ascii="宋体" w:hAnsi="宋体" w:eastAsia="宋体" w:cs="Times New Roman"/>
          <w:kern w:val="0"/>
          <w:sz w:val="24"/>
          <w:szCs w:val="24"/>
          <w:lang w:val="en-US" w:eastAsia="zh-CN" w:bidi="ar-SA"/>
        </w:rPr>
        <w:t>、法规规定的其他要求</w:t>
      </w:r>
      <w:r>
        <w:rPr>
          <w:rFonts w:hint="eastAsia" w:ascii="宋体" w:hAnsi="宋体"/>
          <w:bCs/>
          <w:kern w:val="0"/>
          <w:sz w:val="24"/>
        </w:rPr>
        <w:t>（提供《投标人资格声明函》）</w:t>
      </w:r>
      <w:r>
        <w:rPr>
          <w:rFonts w:hint="eastAsia" w:ascii="宋体" w:hAnsi="宋体" w:eastAsia="宋体" w:cs="Times New Roman"/>
          <w:kern w:val="0"/>
          <w:sz w:val="24"/>
          <w:szCs w:val="24"/>
          <w:lang w:val="en-US" w:eastAsia="zh-CN" w:bidi="ar-SA"/>
        </w:rPr>
        <w:t>。</w:t>
      </w:r>
    </w:p>
    <w:p>
      <w:pPr>
        <w:tabs>
          <w:tab w:val="left" w:pos="7980"/>
        </w:tabs>
        <w:spacing w:line="360" w:lineRule="auto"/>
        <w:ind w:firstLine="482" w:firstLineChars="200"/>
        <w:rPr>
          <w:rFonts w:ascii="宋体" w:hAnsi="宋体"/>
          <w:b/>
          <w:bCs/>
          <w:sz w:val="24"/>
        </w:rPr>
      </w:pPr>
      <w:r>
        <w:rPr>
          <w:rFonts w:hint="eastAsia" w:ascii="宋体" w:hAnsi="宋体"/>
          <w:b/>
          <w:bCs/>
          <w:sz w:val="24"/>
        </w:rPr>
        <w:t>三、获取招标文件及投标登记</w:t>
      </w:r>
    </w:p>
    <w:p>
      <w:pPr>
        <w:spacing w:line="360" w:lineRule="auto"/>
        <w:ind w:firstLine="480" w:firstLineChars="200"/>
        <w:rPr>
          <w:rFonts w:ascii="宋体" w:hAnsi="宋体"/>
          <w:sz w:val="24"/>
        </w:rPr>
      </w:pPr>
      <w:r>
        <w:rPr>
          <w:rFonts w:hint="eastAsia" w:ascii="宋体" w:hAnsi="宋体"/>
          <w:sz w:val="24"/>
        </w:rPr>
        <w:t>投标登记及招标文件获取时间：</w:t>
      </w:r>
      <w:r>
        <w:rPr>
          <w:rFonts w:hint="eastAsia" w:ascii="宋体" w:hAnsi="宋体"/>
          <w:sz w:val="24"/>
          <w:u w:val="single"/>
        </w:rPr>
        <w:t>20</w:t>
      </w:r>
      <w:r>
        <w:rPr>
          <w:rFonts w:ascii="宋体" w:hAnsi="宋体"/>
          <w:sz w:val="24"/>
          <w:u w:val="single"/>
        </w:rPr>
        <w:t>2</w:t>
      </w:r>
      <w:r>
        <w:rPr>
          <w:rFonts w:hint="eastAsia" w:ascii="宋体" w:hAnsi="宋体"/>
          <w:sz w:val="24"/>
          <w:u w:val="single"/>
        </w:rPr>
        <w:t>3</w:t>
      </w:r>
      <w:r>
        <w:rPr>
          <w:rFonts w:hint="eastAsia" w:ascii="宋体" w:hAnsi="宋体"/>
          <w:sz w:val="24"/>
        </w:rPr>
        <w:t>年</w:t>
      </w:r>
      <w:r>
        <w:rPr>
          <w:rFonts w:hint="eastAsia" w:ascii="宋体" w:hAnsi="宋体"/>
          <w:sz w:val="24"/>
          <w:u w:val="single"/>
          <w:lang w:val="en-US" w:eastAsia="zh-CN"/>
        </w:rPr>
        <w:t>10</w:t>
      </w:r>
      <w:r>
        <w:rPr>
          <w:rFonts w:hint="eastAsia" w:ascii="宋体" w:hAnsi="宋体"/>
          <w:sz w:val="24"/>
        </w:rPr>
        <w:t>月</w:t>
      </w:r>
      <w:r>
        <w:rPr>
          <w:rFonts w:hint="eastAsia" w:ascii="宋体" w:hAnsi="宋体"/>
          <w:sz w:val="24"/>
          <w:u w:val="single"/>
          <w:lang w:val="en-US" w:eastAsia="zh-CN"/>
        </w:rPr>
        <w:t>13</w:t>
      </w:r>
      <w:r>
        <w:rPr>
          <w:rFonts w:hint="eastAsia" w:ascii="宋体" w:hAnsi="宋体"/>
          <w:sz w:val="24"/>
        </w:rPr>
        <w:t>日至</w:t>
      </w:r>
      <w:r>
        <w:rPr>
          <w:rFonts w:hint="eastAsia" w:ascii="宋体" w:hAnsi="宋体"/>
          <w:sz w:val="24"/>
          <w:u w:val="single"/>
        </w:rPr>
        <w:t>20</w:t>
      </w:r>
      <w:r>
        <w:rPr>
          <w:rFonts w:ascii="宋体" w:hAnsi="宋体"/>
          <w:sz w:val="24"/>
          <w:u w:val="single"/>
        </w:rPr>
        <w:t>2</w:t>
      </w:r>
      <w:r>
        <w:rPr>
          <w:rFonts w:hint="eastAsia" w:ascii="宋体" w:hAnsi="宋体"/>
          <w:sz w:val="24"/>
          <w:u w:val="single"/>
        </w:rPr>
        <w:t>3</w:t>
      </w:r>
      <w:r>
        <w:rPr>
          <w:rFonts w:hint="eastAsia" w:ascii="宋体" w:hAnsi="宋体"/>
          <w:sz w:val="24"/>
        </w:rPr>
        <w:t>年</w:t>
      </w:r>
      <w:r>
        <w:rPr>
          <w:rFonts w:hint="eastAsia" w:ascii="宋体" w:hAnsi="宋体"/>
          <w:sz w:val="24"/>
          <w:u w:val="single"/>
          <w:lang w:val="en-US" w:eastAsia="zh-CN"/>
        </w:rPr>
        <w:t>10</w:t>
      </w:r>
      <w:r>
        <w:rPr>
          <w:rFonts w:hint="eastAsia" w:ascii="宋体" w:hAnsi="宋体"/>
          <w:sz w:val="24"/>
        </w:rPr>
        <w:t>月</w:t>
      </w:r>
      <w:r>
        <w:rPr>
          <w:rFonts w:hint="eastAsia" w:ascii="宋体" w:hAnsi="宋体"/>
          <w:sz w:val="24"/>
          <w:u w:val="single"/>
          <w:lang w:val="en-US" w:eastAsia="zh-CN"/>
        </w:rPr>
        <w:t>19</w:t>
      </w:r>
      <w:r>
        <w:rPr>
          <w:rFonts w:hint="eastAsia" w:ascii="宋体" w:hAnsi="宋体"/>
          <w:sz w:val="24"/>
        </w:rPr>
        <w:t>日（提供期限自本公告发布之日起不得少于5个工作日），每天上午</w:t>
      </w:r>
      <w:r>
        <w:rPr>
          <w:rFonts w:hint="eastAsia" w:ascii="宋体" w:hAnsi="宋体"/>
          <w:sz w:val="24"/>
          <w:u w:val="single"/>
        </w:rPr>
        <w:t>09:00</w:t>
      </w:r>
      <w:r>
        <w:rPr>
          <w:rFonts w:hint="eastAsia" w:ascii="宋体" w:hAnsi="宋体"/>
          <w:sz w:val="24"/>
        </w:rPr>
        <w:t>至</w:t>
      </w:r>
      <w:r>
        <w:rPr>
          <w:rFonts w:hint="eastAsia" w:ascii="宋体" w:hAnsi="宋体"/>
          <w:sz w:val="24"/>
          <w:u w:val="single"/>
        </w:rPr>
        <w:t>12:00</w:t>
      </w:r>
      <w:r>
        <w:rPr>
          <w:rFonts w:hint="eastAsia" w:ascii="宋体" w:hAnsi="宋体"/>
          <w:sz w:val="24"/>
        </w:rPr>
        <w:t xml:space="preserve"> ，下午</w:t>
      </w:r>
      <w:r>
        <w:rPr>
          <w:rFonts w:hint="eastAsia" w:ascii="宋体" w:hAnsi="宋体"/>
          <w:sz w:val="24"/>
          <w:u w:val="single"/>
        </w:rPr>
        <w:t>14:00</w:t>
      </w:r>
      <w:r>
        <w:rPr>
          <w:rFonts w:hint="eastAsia" w:ascii="宋体" w:hAnsi="宋体"/>
          <w:sz w:val="24"/>
        </w:rPr>
        <w:t xml:space="preserve"> 至</w:t>
      </w:r>
      <w:r>
        <w:rPr>
          <w:rFonts w:hint="eastAsia" w:ascii="宋体" w:hAnsi="宋体"/>
          <w:sz w:val="24"/>
          <w:u w:val="single"/>
        </w:rPr>
        <w:t>18:00</w:t>
      </w:r>
      <w:r>
        <w:rPr>
          <w:rFonts w:hint="eastAsia" w:ascii="宋体" w:hAnsi="宋体"/>
          <w:sz w:val="24"/>
        </w:rPr>
        <w:t>（北京时间，法定节假日除外）</w:t>
      </w:r>
    </w:p>
    <w:p>
      <w:pPr>
        <w:spacing w:line="360" w:lineRule="auto"/>
        <w:ind w:firstLine="480" w:firstLineChars="200"/>
        <w:rPr>
          <w:rFonts w:ascii="宋体" w:hAnsi="宋体"/>
          <w:sz w:val="24"/>
        </w:rPr>
      </w:pPr>
      <w:r>
        <w:rPr>
          <w:rFonts w:hint="eastAsia" w:ascii="宋体" w:hAnsi="宋体"/>
          <w:sz w:val="24"/>
        </w:rPr>
        <w:t>投标登记及招标文件获取方式：现场登记领取或电子邮件进行投标登记并领取招标文件，具体操作如下：</w:t>
      </w:r>
    </w:p>
    <w:p>
      <w:pPr>
        <w:spacing w:line="360" w:lineRule="auto"/>
        <w:ind w:firstLine="480" w:firstLineChars="200"/>
        <w:rPr>
          <w:rFonts w:ascii="宋体" w:hAnsi="宋体" w:cs="宋体"/>
          <w:sz w:val="24"/>
        </w:rPr>
      </w:pPr>
      <w:r>
        <w:rPr>
          <w:rStyle w:val="63"/>
          <w:rFonts w:hint="eastAsia" w:ascii="宋体" w:hAnsi="宋体" w:cs="宋体"/>
          <w:sz w:val="24"/>
          <w:szCs w:val="24"/>
        </w:rPr>
        <w:t>①</w:t>
      </w:r>
      <w:r>
        <w:rPr>
          <w:rFonts w:hint="eastAsia" w:ascii="宋体" w:hAnsi="宋体" w:cs="宋体"/>
          <w:sz w:val="24"/>
        </w:rPr>
        <w:t>现场登记领取方式：投标人携带需提供的资料，到代理机构（地址：广州市白云区齐富路88号C栋8楼）现场进行投标登记并领取招标文件。</w:t>
      </w:r>
    </w:p>
    <w:p>
      <w:pPr>
        <w:spacing w:line="360" w:lineRule="auto"/>
        <w:ind w:firstLine="480" w:firstLineChars="200"/>
        <w:rPr>
          <w:rFonts w:ascii="宋体" w:hAnsi="宋体" w:cs="宋体"/>
          <w:sz w:val="24"/>
        </w:rPr>
      </w:pPr>
      <w:r>
        <w:rPr>
          <w:rFonts w:hint="eastAsia" w:ascii="宋体" w:hAnsi="宋体" w:cs="宋体"/>
          <w:sz w:val="24"/>
          <w:szCs w:val="32"/>
        </w:rPr>
        <w:t>②</w:t>
      </w:r>
      <w:r>
        <w:rPr>
          <w:rFonts w:hint="eastAsia" w:ascii="宋体" w:hAnsi="宋体" w:cs="宋体"/>
          <w:sz w:val="24"/>
        </w:rPr>
        <w:t>电子登记领取方式：投标人将需提供的资料扫描件作为邮件附件，按以下邮件主题格式发送至邮箱进行投标登记，待代理机构确认投标人信息后即完成投标登记。</w:t>
      </w:r>
    </w:p>
    <w:p>
      <w:pPr>
        <w:spacing w:line="360" w:lineRule="auto"/>
        <w:ind w:firstLine="480" w:firstLineChars="200"/>
        <w:rPr>
          <w:rFonts w:ascii="宋体" w:hAnsi="宋体" w:cs="宋体"/>
          <w:sz w:val="24"/>
        </w:rPr>
      </w:pPr>
      <w:r>
        <w:rPr>
          <w:rFonts w:hint="eastAsia" w:ascii="宋体" w:hAnsi="宋体" w:cs="宋体"/>
          <w:sz w:val="24"/>
        </w:rPr>
        <w:t>1)邮件主题格式：“</w:t>
      </w:r>
      <w:r>
        <w:rPr>
          <w:rFonts w:hint="eastAsia" w:ascii="宋体" w:hAnsi="宋体" w:cs="宋体"/>
          <w:sz w:val="24"/>
          <w:u w:val="single"/>
        </w:rPr>
        <w:t xml:space="preserve">         （投标人名称）  （项目名称）   </w:t>
      </w:r>
      <w:r>
        <w:rPr>
          <w:rFonts w:hint="eastAsia" w:ascii="宋体" w:hAnsi="宋体" w:cs="宋体"/>
          <w:sz w:val="24"/>
        </w:rPr>
        <w:t>投标登记资料”。</w:t>
      </w:r>
    </w:p>
    <w:p>
      <w:pPr>
        <w:spacing w:line="360" w:lineRule="auto"/>
        <w:ind w:firstLine="480" w:firstLineChars="200"/>
      </w:pPr>
      <w:r>
        <w:rPr>
          <w:rFonts w:hint="eastAsia" w:ascii="宋体" w:hAnsi="宋体" w:cs="宋体"/>
          <w:sz w:val="24"/>
        </w:rPr>
        <w:t>2)邮箱：byjsht2020@163.com。</w:t>
      </w:r>
    </w:p>
    <w:p>
      <w:pPr>
        <w:spacing w:line="360" w:lineRule="auto"/>
        <w:ind w:firstLine="480" w:firstLineChars="200"/>
        <w:rPr>
          <w:rFonts w:ascii="宋体" w:hAnsi="宋体"/>
          <w:sz w:val="24"/>
        </w:rPr>
      </w:pPr>
      <w:r>
        <w:rPr>
          <w:rFonts w:hint="eastAsia" w:ascii="宋体" w:hAnsi="宋体"/>
          <w:sz w:val="24"/>
        </w:rPr>
        <w:t>获取售价（元）：</w:t>
      </w:r>
      <w:r>
        <w:rPr>
          <w:rFonts w:hint="eastAsia" w:ascii="宋体" w:hAnsi="宋体"/>
          <w:sz w:val="24"/>
          <w:u w:val="single"/>
        </w:rPr>
        <w:t>/</w:t>
      </w:r>
    </w:p>
    <w:p>
      <w:pPr>
        <w:spacing w:line="360" w:lineRule="auto"/>
        <w:ind w:firstLine="480" w:firstLineChars="200"/>
        <w:rPr>
          <w:rStyle w:val="63"/>
          <w:rFonts w:ascii="宋体" w:hAnsi="宋体" w:cs="宋体"/>
          <w:sz w:val="24"/>
          <w:szCs w:val="24"/>
        </w:rPr>
      </w:pPr>
      <w:r>
        <w:rPr>
          <w:rFonts w:hint="eastAsia" w:ascii="宋体" w:hAnsi="宋体"/>
          <w:sz w:val="24"/>
        </w:rPr>
        <w:t>获取招标</w:t>
      </w:r>
      <w:r>
        <w:rPr>
          <w:rStyle w:val="63"/>
          <w:rFonts w:hint="eastAsia" w:ascii="宋体" w:hAnsi="宋体" w:cs="宋体"/>
          <w:sz w:val="24"/>
          <w:szCs w:val="24"/>
        </w:rPr>
        <w:t>文件需提供的资料：</w:t>
      </w:r>
    </w:p>
    <w:p>
      <w:pPr>
        <w:spacing w:line="360" w:lineRule="auto"/>
        <w:ind w:firstLine="480" w:firstLineChars="200"/>
        <w:rPr>
          <w:rStyle w:val="63"/>
          <w:rFonts w:ascii="宋体" w:hAnsi="宋体" w:cs="宋体"/>
          <w:sz w:val="24"/>
          <w:szCs w:val="24"/>
        </w:rPr>
      </w:pPr>
      <w:r>
        <w:rPr>
          <w:rStyle w:val="63"/>
          <w:rFonts w:hint="eastAsia" w:ascii="宋体" w:hAnsi="宋体" w:cs="宋体"/>
          <w:sz w:val="24"/>
          <w:szCs w:val="24"/>
        </w:rPr>
        <w:t>①提供在中华人民共和国境内注册的法人或其他组织的营业执照或事业单位法人证书或社会团体法人登记证书复印件，如投标人为自然人的提供自然人身份证明复印件；依法经国务院批准免予登记的社会组织的，应提供相应文件证明其依法免予登记；如国家另有规定的，则从其规定。</w:t>
      </w:r>
    </w:p>
    <w:p>
      <w:pPr>
        <w:spacing w:line="360" w:lineRule="auto"/>
        <w:ind w:firstLine="480" w:firstLineChars="200"/>
        <w:rPr>
          <w:rFonts w:ascii="宋体" w:hAnsi="宋体" w:cs="宋体"/>
          <w:sz w:val="24"/>
          <w:szCs w:val="32"/>
        </w:rPr>
      </w:pPr>
      <w:r>
        <w:rPr>
          <w:rFonts w:hint="eastAsia" w:ascii="宋体" w:hAnsi="宋体" w:cs="宋体"/>
          <w:sz w:val="24"/>
          <w:szCs w:val="32"/>
        </w:rPr>
        <w:t>②投标登记表（原件加盖公章）（格式详见附件</w:t>
      </w:r>
      <w:r>
        <w:rPr>
          <w:rFonts w:hint="eastAsia" w:ascii="宋体" w:hAnsi="宋体" w:cs="宋体"/>
          <w:sz w:val="24"/>
          <w:szCs w:val="32"/>
          <w:lang w:val="en-US" w:eastAsia="zh-CN"/>
        </w:rPr>
        <w:t>二</w:t>
      </w:r>
      <w:r>
        <w:rPr>
          <w:rFonts w:hint="eastAsia" w:ascii="宋体" w:hAnsi="宋体" w:cs="宋体"/>
          <w:sz w:val="24"/>
          <w:szCs w:val="32"/>
        </w:rPr>
        <w:t>）。</w:t>
      </w:r>
    </w:p>
    <w:p>
      <w:pPr>
        <w:spacing w:line="360" w:lineRule="auto"/>
        <w:ind w:firstLine="482" w:firstLineChars="200"/>
        <w:rPr>
          <w:rFonts w:ascii="宋体" w:hAnsi="宋体"/>
          <w:b/>
          <w:bCs/>
          <w:sz w:val="24"/>
        </w:rPr>
      </w:pPr>
      <w:r>
        <w:rPr>
          <w:rFonts w:hint="eastAsia" w:ascii="宋体" w:hAnsi="宋体"/>
          <w:b/>
          <w:bCs/>
          <w:sz w:val="24"/>
        </w:rPr>
        <w:t>四、提交投标文件截止时间、开标时间和地点</w:t>
      </w:r>
    </w:p>
    <w:p>
      <w:pPr>
        <w:spacing w:line="360" w:lineRule="auto"/>
        <w:ind w:firstLine="480" w:firstLineChars="200"/>
        <w:rPr>
          <w:rFonts w:ascii="宋体" w:hAnsi="宋体"/>
          <w:sz w:val="24"/>
        </w:rPr>
      </w:pPr>
      <w:r>
        <w:rPr>
          <w:rFonts w:ascii="宋体" w:hAnsi="宋体"/>
          <w:sz w:val="24"/>
          <w:u w:val="single"/>
        </w:rPr>
        <w:t>202</w:t>
      </w:r>
      <w:r>
        <w:rPr>
          <w:rFonts w:hint="eastAsia" w:ascii="宋体" w:hAnsi="宋体"/>
          <w:sz w:val="24"/>
          <w:u w:val="single"/>
        </w:rPr>
        <w:t>3</w:t>
      </w:r>
      <w:r>
        <w:rPr>
          <w:rFonts w:ascii="宋体" w:hAnsi="宋体"/>
          <w:sz w:val="24"/>
        </w:rPr>
        <w:t>年</w:t>
      </w:r>
      <w:r>
        <w:rPr>
          <w:rFonts w:hint="eastAsia" w:ascii="宋体" w:hAnsi="宋体"/>
          <w:sz w:val="24"/>
          <w:u w:val="single"/>
          <w:lang w:val="en-US" w:eastAsia="zh-CN"/>
        </w:rPr>
        <w:t>11</w:t>
      </w:r>
      <w:r>
        <w:rPr>
          <w:rFonts w:ascii="宋体" w:hAnsi="宋体"/>
          <w:sz w:val="24"/>
        </w:rPr>
        <w:t>月</w:t>
      </w:r>
      <w:r>
        <w:rPr>
          <w:rFonts w:hint="eastAsia" w:ascii="宋体" w:hAnsi="宋体"/>
          <w:sz w:val="24"/>
          <w:u w:val="single"/>
          <w:lang w:val="en-US" w:eastAsia="zh-CN"/>
        </w:rPr>
        <w:t>03</w:t>
      </w:r>
      <w:r>
        <w:rPr>
          <w:rFonts w:ascii="宋体" w:hAnsi="宋体"/>
          <w:sz w:val="24"/>
        </w:rPr>
        <w:t>日</w:t>
      </w:r>
      <w:r>
        <w:rPr>
          <w:rFonts w:ascii="宋体" w:hAnsi="宋体"/>
          <w:sz w:val="24"/>
          <w:u w:val="single"/>
        </w:rPr>
        <w:t>09</w:t>
      </w:r>
      <w:r>
        <w:rPr>
          <w:rFonts w:ascii="宋体" w:hAnsi="宋体"/>
          <w:sz w:val="24"/>
        </w:rPr>
        <w:t>点</w:t>
      </w:r>
      <w:r>
        <w:rPr>
          <w:rFonts w:ascii="宋体" w:hAnsi="宋体"/>
          <w:sz w:val="24"/>
          <w:u w:val="single"/>
        </w:rPr>
        <w:t>30</w:t>
      </w:r>
      <w:r>
        <w:rPr>
          <w:rFonts w:ascii="宋体" w:hAnsi="宋体"/>
          <w:sz w:val="24"/>
        </w:rPr>
        <w:t>分</w:t>
      </w:r>
      <w:r>
        <w:rPr>
          <w:rFonts w:hint="eastAsia" w:ascii="宋体" w:hAnsi="宋体"/>
          <w:sz w:val="24"/>
        </w:rPr>
        <w:t>（北京时间）（自采购文件开始发出之日起至投标人提交投标文件截止之日止，不得少于20日）</w:t>
      </w:r>
    </w:p>
    <w:p>
      <w:pPr>
        <w:spacing w:line="360" w:lineRule="auto"/>
        <w:ind w:firstLine="480" w:firstLineChars="200"/>
        <w:rPr>
          <w:rFonts w:ascii="宋体" w:hAnsi="宋体"/>
          <w:sz w:val="24"/>
        </w:rPr>
      </w:pPr>
      <w:r>
        <w:rPr>
          <w:rFonts w:hint="eastAsia" w:ascii="宋体" w:hAnsi="宋体"/>
          <w:sz w:val="24"/>
        </w:rPr>
        <w:t>地点：</w:t>
      </w:r>
      <w:r>
        <w:rPr>
          <w:rFonts w:hint="eastAsia" w:ascii="宋体" w:hAnsi="宋体"/>
          <w:sz w:val="24"/>
          <w:u w:val="single"/>
        </w:rPr>
        <w:t>广州市白云区齐富路88号C栋8楼8012第二会议室</w:t>
      </w:r>
    </w:p>
    <w:p>
      <w:pPr>
        <w:spacing w:line="360" w:lineRule="auto"/>
        <w:ind w:firstLine="482" w:firstLineChars="200"/>
        <w:rPr>
          <w:rFonts w:ascii="宋体" w:hAnsi="宋体"/>
          <w:sz w:val="24"/>
        </w:rPr>
      </w:pPr>
      <w:r>
        <w:rPr>
          <w:rFonts w:hint="eastAsia" w:ascii="宋体" w:hAnsi="宋体"/>
          <w:b/>
          <w:bCs/>
          <w:sz w:val="24"/>
        </w:rPr>
        <w:t>五、对本次招标提出询问，请按以下方式联系。</w:t>
      </w:r>
    </w:p>
    <w:p>
      <w:pPr>
        <w:spacing w:line="360" w:lineRule="auto"/>
        <w:ind w:firstLine="480" w:firstLineChars="200"/>
        <w:rPr>
          <w:rFonts w:ascii="宋体" w:hAnsi="宋体"/>
          <w:sz w:val="24"/>
        </w:rPr>
      </w:pPr>
      <w:r>
        <w:rPr>
          <w:rFonts w:ascii="宋体" w:hAnsi="宋体"/>
          <w:sz w:val="24"/>
        </w:rPr>
        <w:t>1.采购人信息</w:t>
      </w:r>
    </w:p>
    <w:p>
      <w:pPr>
        <w:spacing w:line="360" w:lineRule="auto"/>
        <w:ind w:firstLine="566" w:firstLineChars="236"/>
        <w:rPr>
          <w:rFonts w:ascii="宋体" w:hAnsi="宋体"/>
          <w:sz w:val="24"/>
        </w:rPr>
      </w:pPr>
      <w:r>
        <w:rPr>
          <w:rFonts w:ascii="宋体" w:hAnsi="宋体"/>
          <w:sz w:val="24"/>
        </w:rPr>
        <w:t>名称：</w:t>
      </w:r>
      <w:r>
        <w:rPr>
          <w:rFonts w:hint="eastAsia" w:ascii="宋体" w:hAnsi="宋体"/>
          <w:sz w:val="24"/>
          <w:u w:val="single"/>
        </w:rPr>
        <w:t>广州市白云城市开发投资集团有限公司</w:t>
      </w:r>
    </w:p>
    <w:p>
      <w:pPr>
        <w:spacing w:line="360" w:lineRule="auto"/>
        <w:ind w:firstLine="566" w:firstLineChars="236"/>
        <w:rPr>
          <w:rFonts w:ascii="宋体" w:hAnsi="宋体"/>
          <w:sz w:val="24"/>
        </w:rPr>
      </w:pPr>
      <w:r>
        <w:rPr>
          <w:rFonts w:ascii="宋体" w:hAnsi="宋体"/>
          <w:sz w:val="24"/>
        </w:rPr>
        <w:t>地址：</w:t>
      </w:r>
      <w:r>
        <w:rPr>
          <w:rFonts w:hint="eastAsia" w:ascii="宋体" w:hAnsi="宋体"/>
          <w:sz w:val="24"/>
          <w:u w:val="single"/>
        </w:rPr>
        <w:t>广州市白云区齐富路88号C座</w:t>
      </w:r>
    </w:p>
    <w:p>
      <w:pPr>
        <w:spacing w:line="360" w:lineRule="auto"/>
        <w:ind w:firstLine="566" w:firstLineChars="236"/>
        <w:rPr>
          <w:rFonts w:ascii="宋体" w:hAnsi="宋体"/>
          <w:sz w:val="24"/>
        </w:rPr>
      </w:pPr>
      <w:r>
        <w:rPr>
          <w:rFonts w:ascii="宋体" w:hAnsi="宋体"/>
          <w:sz w:val="24"/>
        </w:rPr>
        <w:t>联系方式：</w:t>
      </w:r>
      <w:r>
        <w:rPr>
          <w:rFonts w:hint="eastAsia" w:ascii="宋体" w:hAnsi="宋体"/>
          <w:sz w:val="24"/>
          <w:u w:val="single"/>
        </w:rPr>
        <w:t>020-36880988</w:t>
      </w:r>
    </w:p>
    <w:p>
      <w:pPr>
        <w:spacing w:line="360" w:lineRule="auto"/>
        <w:ind w:firstLine="480" w:firstLineChars="200"/>
        <w:rPr>
          <w:rFonts w:ascii="宋体" w:hAnsi="宋体"/>
          <w:sz w:val="24"/>
        </w:rPr>
      </w:pPr>
      <w:r>
        <w:rPr>
          <w:rFonts w:ascii="宋体" w:hAnsi="宋体"/>
          <w:sz w:val="24"/>
        </w:rPr>
        <w:t>2.采购代理机构信息</w:t>
      </w:r>
    </w:p>
    <w:p>
      <w:pPr>
        <w:spacing w:line="360" w:lineRule="auto"/>
        <w:ind w:firstLine="480" w:firstLineChars="200"/>
        <w:rPr>
          <w:rFonts w:ascii="宋体" w:hAnsi="宋体"/>
          <w:sz w:val="24"/>
        </w:rPr>
      </w:pPr>
      <w:r>
        <w:rPr>
          <w:rFonts w:ascii="宋体" w:hAnsi="宋体"/>
          <w:sz w:val="24"/>
        </w:rPr>
        <w:t>名称：</w:t>
      </w:r>
      <w:r>
        <w:rPr>
          <w:rFonts w:hint="eastAsia" w:ascii="宋体" w:hAnsi="宋体"/>
          <w:sz w:val="24"/>
          <w:u w:val="single"/>
        </w:rPr>
        <w:t>广州市白云城市建设投资有限公司</w:t>
      </w:r>
      <w:r>
        <w:rPr>
          <w:rFonts w:ascii="宋体" w:hAnsi="宋体"/>
          <w:sz w:val="24"/>
          <w:u w:val="single"/>
        </w:rPr>
        <w:t xml:space="preserve"> </w:t>
      </w:r>
    </w:p>
    <w:p>
      <w:pPr>
        <w:spacing w:line="360" w:lineRule="auto"/>
        <w:ind w:firstLine="480" w:firstLineChars="200"/>
        <w:rPr>
          <w:rFonts w:ascii="宋体" w:hAnsi="宋体"/>
          <w:sz w:val="24"/>
          <w:u w:val="single"/>
        </w:rPr>
      </w:pPr>
      <w:r>
        <w:rPr>
          <w:rFonts w:ascii="宋体" w:hAnsi="宋体"/>
          <w:sz w:val="24"/>
        </w:rPr>
        <w:t>地址：</w:t>
      </w:r>
      <w:r>
        <w:rPr>
          <w:rFonts w:hint="eastAsia" w:ascii="宋体" w:hAnsi="宋体"/>
          <w:sz w:val="24"/>
          <w:u w:val="single"/>
        </w:rPr>
        <w:t>广州市白云区齐富路88号C栋8楼8010室</w:t>
      </w:r>
    </w:p>
    <w:p>
      <w:pPr>
        <w:spacing w:line="360" w:lineRule="auto"/>
        <w:ind w:firstLine="480" w:firstLineChars="200"/>
        <w:rPr>
          <w:rFonts w:ascii="宋体" w:hAnsi="宋体"/>
          <w:i/>
          <w:iCs/>
          <w:sz w:val="24"/>
          <w:u w:val="single"/>
        </w:rPr>
      </w:pPr>
      <w:r>
        <w:rPr>
          <w:rFonts w:ascii="宋体" w:hAnsi="宋体"/>
          <w:sz w:val="24"/>
        </w:rPr>
        <w:t>联系方式：</w:t>
      </w:r>
      <w:r>
        <w:rPr>
          <w:rFonts w:ascii="宋体" w:hAnsi="宋体"/>
          <w:sz w:val="24"/>
          <w:u w:val="single"/>
        </w:rPr>
        <w:t>020-</w:t>
      </w:r>
      <w:r>
        <w:rPr>
          <w:rFonts w:hint="eastAsia" w:ascii="宋体" w:hAnsi="宋体"/>
          <w:sz w:val="24"/>
          <w:u w:val="single"/>
        </w:rPr>
        <w:t>32789910</w:t>
      </w:r>
    </w:p>
    <w:p>
      <w:pPr>
        <w:spacing w:line="360" w:lineRule="auto"/>
        <w:ind w:firstLine="480" w:firstLineChars="200"/>
        <w:rPr>
          <w:rFonts w:ascii="宋体" w:hAnsi="宋体"/>
          <w:sz w:val="24"/>
        </w:rPr>
      </w:pPr>
      <w:r>
        <w:rPr>
          <w:rFonts w:ascii="宋体" w:hAnsi="宋体"/>
          <w:sz w:val="24"/>
        </w:rPr>
        <w:t>3.项目联系方式</w:t>
      </w:r>
    </w:p>
    <w:p>
      <w:pPr>
        <w:spacing w:line="360" w:lineRule="auto"/>
        <w:ind w:firstLine="480" w:firstLineChars="200"/>
        <w:rPr>
          <w:rFonts w:ascii="宋体" w:hAnsi="宋体"/>
          <w:sz w:val="24"/>
          <w:u w:val="single"/>
        </w:rPr>
      </w:pPr>
      <w:r>
        <w:rPr>
          <w:rFonts w:ascii="宋体" w:hAnsi="宋体"/>
          <w:sz w:val="24"/>
        </w:rPr>
        <w:t>项目联系人：</w:t>
      </w:r>
      <w:r>
        <w:rPr>
          <w:rFonts w:hint="eastAsia" w:ascii="宋体" w:hAnsi="宋体"/>
          <w:sz w:val="24"/>
          <w:u w:val="single"/>
        </w:rPr>
        <w:t>黄工</w:t>
      </w:r>
    </w:p>
    <w:p>
      <w:pPr>
        <w:spacing w:line="360" w:lineRule="auto"/>
        <w:ind w:firstLine="480" w:firstLineChars="200"/>
        <w:rPr>
          <w:rFonts w:ascii="宋体" w:hAnsi="宋体"/>
          <w:sz w:val="24"/>
          <w:u w:val="single"/>
        </w:rPr>
      </w:pPr>
      <w:r>
        <w:rPr>
          <w:rFonts w:ascii="宋体" w:hAnsi="宋体"/>
          <w:sz w:val="24"/>
        </w:rPr>
        <w:t>电话：</w:t>
      </w:r>
      <w:r>
        <w:rPr>
          <w:rFonts w:ascii="宋体" w:hAnsi="宋体"/>
          <w:sz w:val="24"/>
          <w:u w:val="single"/>
        </w:rPr>
        <w:t>020-</w:t>
      </w:r>
      <w:r>
        <w:rPr>
          <w:rFonts w:hint="eastAsia" w:ascii="宋体" w:hAnsi="宋体"/>
          <w:sz w:val="24"/>
          <w:u w:val="single"/>
        </w:rPr>
        <w:t>32789910</w:t>
      </w:r>
    </w:p>
    <w:p>
      <w:pPr>
        <w:rPr>
          <w:rFonts w:ascii="宋体" w:hAnsi="宋体"/>
          <w:sz w:val="24"/>
          <w:u w:val="single"/>
        </w:rPr>
      </w:pPr>
      <w:r>
        <w:rPr>
          <w:rFonts w:hint="eastAsia" w:ascii="宋体" w:hAnsi="宋体"/>
          <w:sz w:val="24"/>
          <w:u w:val="single"/>
        </w:rPr>
        <w:br w:type="page"/>
      </w:r>
    </w:p>
    <w:p>
      <w:pPr>
        <w:rPr>
          <w:rFonts w:hint="eastAsia" w:ascii="宋体" w:hAnsi="宋体"/>
          <w:kern w:val="0"/>
          <w:sz w:val="24"/>
          <w:lang w:val="en-US" w:eastAsia="zh-CN"/>
        </w:rPr>
      </w:pPr>
      <w:r>
        <w:rPr>
          <w:rFonts w:hint="eastAsia" w:ascii="宋体" w:hAnsi="宋体"/>
          <w:sz w:val="24"/>
          <w:szCs w:val="32"/>
        </w:rPr>
        <w:t>附件</w:t>
      </w:r>
      <w:r>
        <w:rPr>
          <w:rFonts w:hint="eastAsia" w:ascii="宋体" w:hAnsi="宋体"/>
          <w:sz w:val="24"/>
          <w:szCs w:val="32"/>
          <w:lang w:val="en-US" w:eastAsia="zh-CN"/>
        </w:rPr>
        <w:t>一</w:t>
      </w:r>
      <w:r>
        <w:rPr>
          <w:rFonts w:hint="eastAsia" w:ascii="宋体" w:hAnsi="宋体"/>
          <w:sz w:val="24"/>
          <w:szCs w:val="32"/>
        </w:rPr>
        <w:t>：</w:t>
      </w:r>
      <w:r>
        <w:rPr>
          <w:rFonts w:hint="eastAsia" w:ascii="宋体" w:hAnsi="宋体"/>
          <w:kern w:val="0"/>
          <w:sz w:val="24"/>
          <w:lang w:val="en-US" w:eastAsia="zh-CN"/>
        </w:rPr>
        <w:t>《被本项目招标人书面拒绝投标的企业名单》</w:t>
      </w:r>
    </w:p>
    <w:p>
      <w:pPr>
        <w:pStyle w:val="21"/>
        <w:rPr>
          <w:rFonts w:hint="eastAsia" w:ascii="宋体" w:hAnsi="宋体"/>
          <w:kern w:val="0"/>
          <w:sz w:val="24"/>
          <w:lang w:val="en-US" w:eastAsia="zh-CN"/>
        </w:rPr>
      </w:pPr>
    </w:p>
    <w:p>
      <w:pPr>
        <w:widowControl/>
        <w:shd w:val="clear" w:color="auto" w:fill="FFFFFF"/>
        <w:snapToGrid w:val="0"/>
        <w:spacing w:beforeAutospacing="1" w:line="264" w:lineRule="auto"/>
        <w:jc w:val="center"/>
        <w:rPr>
          <w:rFonts w:ascii="宋体" w:hAnsi="宋体" w:cs="宋体"/>
          <w:b/>
          <w:kern w:val="0"/>
          <w:sz w:val="21"/>
          <w:szCs w:val="21"/>
          <w:highlight w:val="none"/>
          <w:lang w:bidi="ar"/>
        </w:rPr>
      </w:pPr>
      <w:r>
        <w:rPr>
          <w:rFonts w:hint="eastAsia" w:ascii="宋体" w:hAnsi="宋体" w:cs="宋体"/>
          <w:b/>
          <w:kern w:val="0"/>
          <w:sz w:val="24"/>
          <w:highlight w:val="none"/>
          <w:lang w:bidi="ar"/>
        </w:rPr>
        <w:t>被本项目招标人书面拒绝投标的的企业名单</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highlight w:val="none"/>
              </w:rPr>
            </w:pPr>
            <w:r>
              <w:rPr>
                <w:rFonts w:ascii="宋体" w:hAnsi="宋体" w:cs="宋体"/>
                <w:sz w:val="24"/>
                <w:highlight w:val="none"/>
              </w:rPr>
              <w:t>序号</w:t>
            </w:r>
          </w:p>
        </w:tc>
        <w:tc>
          <w:tcPr>
            <w:tcW w:w="639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highlight w:val="none"/>
              </w:rPr>
            </w:pPr>
            <w:r>
              <w:rPr>
                <w:rFonts w:ascii="宋体" w:hAnsi="宋体" w:cs="宋体"/>
                <w:sz w:val="24"/>
                <w:highlight w:val="none"/>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广东金辉华集团有限公司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江门市水电有限公司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广东德畅工程有限公司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广东中林建筑园林工程有限公司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广东电白建设集团有限公司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广东粤能工程管理有限公司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广东省广大工程顾问有限公司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广东光中盛集团有限公司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广东合信工程项目管理有限公司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广东恒辉建设集团股份有限公司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广东海外建设咨询有限公司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公诚管理咨询有限公司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广东宏茂建设管理有限公司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广州市富华工程建设监理有限公司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ascii="宋体" w:hAnsi="宋体" w:cs="宋体"/>
                <w:sz w:val="24"/>
                <w:highlight w:val="none"/>
              </w:rPr>
            </w:pPr>
            <w:r>
              <w:rPr>
                <w:rFonts w:hint="eastAsia" w:ascii="宋体" w:hAnsi="宋体" w:cs="宋体"/>
                <w:sz w:val="24"/>
                <w:highlight w:val="none"/>
              </w:rPr>
              <w:t>广东省源天工程有限公司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hint="eastAsia"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sz w:val="24"/>
                <w:highlight w:val="none"/>
              </w:rPr>
            </w:pPr>
            <w:r>
              <w:rPr>
                <w:rFonts w:hint="eastAsia" w:ascii="宋体" w:hAnsi="宋体" w:cs="宋体"/>
                <w:sz w:val="24"/>
                <w:highlight w:val="none"/>
              </w:rPr>
              <w:t>广州建达建设管理有限公司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hint="eastAsia"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广东凯源建筑工程有限公司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hint="eastAsia"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广州艾途仕信息科技有限公司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hint="eastAsia"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广州盛禾源电子科技有限公司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hint="eastAsia"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广州市高雅酒店用品有限公司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hint="eastAsia"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广州市立信酒店设备用品有限公司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0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jc w:val="center"/>
              <w:rPr>
                <w:rFonts w:hint="eastAsia" w:ascii="宋体" w:hAnsi="宋体" w:cs="宋体"/>
                <w:sz w:val="24"/>
                <w:highlight w:val="none"/>
              </w:rPr>
            </w:pPr>
          </w:p>
        </w:tc>
        <w:tc>
          <w:tcPr>
            <w:tcW w:w="6395"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cs="宋体"/>
                <w:kern w:val="0"/>
                <w:sz w:val="24"/>
                <w:highlight w:val="none"/>
                <w:lang w:bidi="ar"/>
              </w:rPr>
            </w:pPr>
            <w:r>
              <w:rPr>
                <w:rFonts w:hint="eastAsia" w:ascii="宋体" w:hAnsi="宋体" w:cs="宋体"/>
                <w:kern w:val="0"/>
                <w:sz w:val="24"/>
                <w:highlight w:val="none"/>
                <w:lang w:bidi="ar"/>
              </w:rPr>
              <w:t>上海鸿珠实业有限公司</w:t>
            </w:r>
          </w:p>
        </w:tc>
      </w:tr>
    </w:tbl>
    <w:p>
      <w:pPr>
        <w:rPr>
          <w:highlight w:val="none"/>
        </w:rPr>
      </w:pPr>
    </w:p>
    <w:p>
      <w:pPr>
        <w:rPr>
          <w:rFonts w:hint="eastAsia"/>
        </w:rPr>
        <w:sectPr>
          <w:headerReference r:id="rId9" w:type="default"/>
          <w:footerReference r:id="rId10" w:type="default"/>
          <w:pgSz w:w="11906" w:h="16838"/>
          <w:pgMar w:top="1440" w:right="1286" w:bottom="1440" w:left="1440" w:header="851" w:footer="992" w:gutter="0"/>
          <w:cols w:space="720" w:num="1"/>
          <w:docGrid w:type="lines" w:linePitch="312" w:charSpace="0"/>
        </w:sectPr>
      </w:pPr>
    </w:p>
    <w:p>
      <w:pPr>
        <w:rPr>
          <w:rFonts w:ascii="宋体" w:hAnsi="宋体"/>
          <w:sz w:val="24"/>
          <w:szCs w:val="32"/>
        </w:rPr>
      </w:pPr>
      <w:r>
        <w:rPr>
          <w:rFonts w:hint="eastAsia" w:ascii="宋体" w:hAnsi="宋体"/>
          <w:sz w:val="24"/>
          <w:szCs w:val="32"/>
          <w:lang w:val="en-US" w:eastAsia="zh-CN"/>
        </w:rPr>
        <w:t>附件二：</w:t>
      </w:r>
      <w:r>
        <w:rPr>
          <w:rFonts w:hint="eastAsia" w:ascii="宋体" w:hAnsi="宋体"/>
          <w:sz w:val="24"/>
          <w:szCs w:val="32"/>
        </w:rPr>
        <w:t xml:space="preserve">投标登记表 </w:t>
      </w:r>
    </w:p>
    <w:p>
      <w:pPr>
        <w:jc w:val="center"/>
        <w:rPr>
          <w:rFonts w:ascii="宋体" w:hAnsi="宋体" w:cs="宋体"/>
          <w:b/>
          <w:sz w:val="32"/>
          <w:szCs w:val="32"/>
        </w:rPr>
      </w:pPr>
      <w:r>
        <w:rPr>
          <w:rFonts w:hint="eastAsia" w:ascii="宋体" w:hAnsi="宋体" w:cs="宋体"/>
          <w:b/>
          <w:sz w:val="32"/>
          <w:szCs w:val="32"/>
        </w:rPr>
        <w:t>投标登记表</w:t>
      </w:r>
    </w:p>
    <w:p>
      <w:pPr>
        <w:wordWrap w:val="0"/>
        <w:rPr>
          <w:rFonts w:ascii="宋体" w:hAnsi="宋体"/>
          <w:szCs w:val="21"/>
        </w:rPr>
      </w:pPr>
    </w:p>
    <w:tbl>
      <w:tblPr>
        <w:tblStyle w:val="55"/>
        <w:tblW w:w="885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0"/>
        <w:gridCol w:w="1749"/>
        <w:gridCol w:w="2462"/>
        <w:gridCol w:w="1645"/>
        <w:gridCol w:w="16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0" w:hRule="atLeast"/>
          <w:jc w:val="center"/>
        </w:trPr>
        <w:tc>
          <w:tcPr>
            <w:tcW w:w="1340" w:type="dxa"/>
            <w:vAlign w:val="center"/>
          </w:tcPr>
          <w:p>
            <w:pPr>
              <w:jc w:val="center"/>
              <w:rPr>
                <w:rFonts w:ascii="宋体" w:hAnsi="宋体"/>
                <w:sz w:val="24"/>
              </w:rPr>
            </w:pPr>
            <w:r>
              <w:rPr>
                <w:rFonts w:hint="eastAsia" w:ascii="宋体" w:hAnsi="宋体"/>
                <w:sz w:val="24"/>
              </w:rPr>
              <w:t>项目名称</w:t>
            </w:r>
          </w:p>
        </w:tc>
        <w:tc>
          <w:tcPr>
            <w:tcW w:w="4211" w:type="dxa"/>
            <w:gridSpan w:val="2"/>
            <w:vAlign w:val="center"/>
          </w:tcPr>
          <w:p>
            <w:pPr>
              <w:jc w:val="center"/>
              <w:rPr>
                <w:rFonts w:ascii="宋体" w:hAnsi="宋体"/>
                <w:sz w:val="24"/>
              </w:rPr>
            </w:pPr>
          </w:p>
        </w:tc>
        <w:tc>
          <w:tcPr>
            <w:tcW w:w="1645" w:type="dxa"/>
            <w:vAlign w:val="center"/>
          </w:tcPr>
          <w:p>
            <w:pPr>
              <w:jc w:val="center"/>
              <w:rPr>
                <w:rFonts w:ascii="宋体" w:hAnsi="宋体"/>
                <w:sz w:val="24"/>
              </w:rPr>
            </w:pPr>
            <w:r>
              <w:rPr>
                <w:rFonts w:hint="eastAsia" w:ascii="宋体" w:hAnsi="宋体"/>
                <w:sz w:val="24"/>
              </w:rPr>
              <w:t>项目编号</w:t>
            </w:r>
          </w:p>
        </w:tc>
        <w:tc>
          <w:tcPr>
            <w:tcW w:w="1656" w:type="dxa"/>
            <w:vAlign w:val="center"/>
          </w:tcPr>
          <w:p>
            <w:pPr>
              <w:tabs>
                <w:tab w:val="left" w:pos="633"/>
              </w:tabs>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51" w:hRule="atLeast"/>
          <w:jc w:val="center"/>
        </w:trPr>
        <w:tc>
          <w:tcPr>
            <w:tcW w:w="1340" w:type="dxa"/>
            <w:vAlign w:val="center"/>
          </w:tcPr>
          <w:p>
            <w:pPr>
              <w:jc w:val="center"/>
              <w:rPr>
                <w:rFonts w:ascii="宋体" w:hAnsi="宋体"/>
                <w:sz w:val="24"/>
              </w:rPr>
            </w:pPr>
            <w:r>
              <w:rPr>
                <w:rFonts w:hint="eastAsia" w:ascii="宋体" w:hAnsi="宋体"/>
                <w:sz w:val="24"/>
              </w:rPr>
              <w:t>单位名称</w:t>
            </w:r>
          </w:p>
          <w:p>
            <w:pPr>
              <w:jc w:val="center"/>
              <w:rPr>
                <w:rFonts w:ascii="宋体" w:hAnsi="宋体"/>
                <w:sz w:val="24"/>
              </w:rPr>
            </w:pPr>
            <w:r>
              <w:rPr>
                <w:rFonts w:hint="eastAsia" w:ascii="宋体" w:hAnsi="宋体"/>
                <w:sz w:val="24"/>
              </w:rPr>
              <w:t>（盖章）</w:t>
            </w:r>
          </w:p>
        </w:tc>
        <w:tc>
          <w:tcPr>
            <w:tcW w:w="7512" w:type="dxa"/>
            <w:gridSpan w:val="4"/>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2" w:hRule="atLeast"/>
          <w:jc w:val="center"/>
        </w:trPr>
        <w:tc>
          <w:tcPr>
            <w:tcW w:w="1340" w:type="dxa"/>
            <w:vMerge w:val="restart"/>
            <w:vAlign w:val="center"/>
          </w:tcPr>
          <w:p>
            <w:pPr>
              <w:jc w:val="center"/>
              <w:rPr>
                <w:rFonts w:ascii="宋体" w:hAnsi="宋体"/>
                <w:sz w:val="24"/>
              </w:rPr>
            </w:pPr>
            <w:r>
              <w:rPr>
                <w:rFonts w:hint="eastAsia" w:ascii="宋体" w:hAnsi="宋体"/>
                <w:sz w:val="24"/>
              </w:rPr>
              <w:t>投标登记经办人</w:t>
            </w:r>
          </w:p>
        </w:tc>
        <w:tc>
          <w:tcPr>
            <w:tcW w:w="1749" w:type="dxa"/>
            <w:vAlign w:val="center"/>
          </w:tcPr>
          <w:p>
            <w:pPr>
              <w:jc w:val="center"/>
              <w:rPr>
                <w:rFonts w:ascii="宋体" w:hAnsi="宋体"/>
                <w:sz w:val="24"/>
              </w:rPr>
            </w:pPr>
            <w:r>
              <w:rPr>
                <w:rFonts w:hint="eastAsia" w:ascii="宋体" w:hAnsi="宋体"/>
                <w:sz w:val="24"/>
              </w:rPr>
              <w:t>姓名</w:t>
            </w:r>
          </w:p>
        </w:tc>
        <w:tc>
          <w:tcPr>
            <w:tcW w:w="2462" w:type="dxa"/>
            <w:vAlign w:val="center"/>
          </w:tcPr>
          <w:p>
            <w:pPr>
              <w:jc w:val="center"/>
              <w:rPr>
                <w:rFonts w:ascii="宋体" w:hAnsi="宋体"/>
                <w:sz w:val="24"/>
              </w:rPr>
            </w:pPr>
            <w:r>
              <w:rPr>
                <w:rFonts w:hint="eastAsia" w:ascii="宋体" w:hAnsi="宋体"/>
                <w:sz w:val="24"/>
              </w:rPr>
              <w:t>*电子邮箱</w:t>
            </w:r>
          </w:p>
          <w:p>
            <w:pPr>
              <w:jc w:val="center"/>
              <w:rPr>
                <w:rFonts w:ascii="宋体" w:hAnsi="宋体"/>
                <w:sz w:val="24"/>
              </w:rPr>
            </w:pPr>
            <w:r>
              <w:rPr>
                <w:rFonts w:hint="eastAsia" w:ascii="宋体" w:hAnsi="宋体"/>
                <w:sz w:val="24"/>
              </w:rPr>
              <w:t>（</w:t>
            </w:r>
            <w:r>
              <w:rPr>
                <w:rFonts w:hint="eastAsia" w:ascii="宋体" w:hAnsi="宋体"/>
                <w:sz w:val="24"/>
                <w:u w:val="single"/>
              </w:rPr>
              <w:t>接收相关资料</w:t>
            </w:r>
            <w:r>
              <w:rPr>
                <w:rFonts w:hint="eastAsia" w:ascii="宋体" w:hAnsi="宋体"/>
                <w:sz w:val="24"/>
              </w:rPr>
              <w:t>）</w:t>
            </w:r>
          </w:p>
        </w:tc>
        <w:tc>
          <w:tcPr>
            <w:tcW w:w="3301" w:type="dxa"/>
            <w:gridSpan w:val="2"/>
            <w:vAlign w:val="center"/>
          </w:tcPr>
          <w:p>
            <w:pPr>
              <w:jc w:val="center"/>
              <w:rPr>
                <w:rFonts w:ascii="宋体" w:hAnsi="宋体"/>
                <w:sz w:val="24"/>
              </w:rPr>
            </w:pPr>
            <w:r>
              <w:rPr>
                <w:rFonts w:hint="eastAsia" w:ascii="宋体" w:hAnsi="宋体"/>
                <w:sz w:val="24"/>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4" w:hRule="atLeast"/>
          <w:jc w:val="center"/>
        </w:trPr>
        <w:tc>
          <w:tcPr>
            <w:tcW w:w="1340" w:type="dxa"/>
            <w:vMerge w:val="continue"/>
            <w:vAlign w:val="center"/>
          </w:tcPr>
          <w:p>
            <w:pPr>
              <w:jc w:val="center"/>
              <w:rPr>
                <w:rFonts w:ascii="宋体" w:hAnsi="宋体"/>
                <w:sz w:val="24"/>
              </w:rPr>
            </w:pPr>
          </w:p>
        </w:tc>
        <w:tc>
          <w:tcPr>
            <w:tcW w:w="1749" w:type="dxa"/>
            <w:vAlign w:val="center"/>
          </w:tcPr>
          <w:p>
            <w:pPr>
              <w:jc w:val="center"/>
              <w:rPr>
                <w:rFonts w:ascii="宋体" w:hAnsi="宋体"/>
                <w:sz w:val="24"/>
              </w:rPr>
            </w:pPr>
          </w:p>
        </w:tc>
        <w:tc>
          <w:tcPr>
            <w:tcW w:w="2462" w:type="dxa"/>
            <w:vAlign w:val="center"/>
          </w:tcPr>
          <w:p>
            <w:pPr>
              <w:jc w:val="center"/>
              <w:rPr>
                <w:rFonts w:ascii="宋体" w:hAnsi="宋体"/>
                <w:sz w:val="24"/>
              </w:rPr>
            </w:pPr>
          </w:p>
        </w:tc>
        <w:tc>
          <w:tcPr>
            <w:tcW w:w="3301" w:type="dxa"/>
            <w:gridSpan w:val="2"/>
            <w:vAlign w:val="center"/>
          </w:tcPr>
          <w:p>
            <w:pPr>
              <w:jc w:val="center"/>
              <w:rPr>
                <w:rFonts w:ascii="宋体" w:hAnsi="宋体"/>
                <w:sz w:val="24"/>
              </w:rPr>
            </w:pPr>
            <w:r>
              <w:rPr>
                <w:rFonts w:hint="eastAsia" w:ascii="宋体" w:hAnsi="宋体"/>
                <w:sz w:val="24"/>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30" w:hRule="atLeast"/>
          <w:jc w:val="center"/>
        </w:trPr>
        <w:tc>
          <w:tcPr>
            <w:tcW w:w="3089" w:type="dxa"/>
            <w:gridSpan w:val="2"/>
            <w:vAlign w:val="center"/>
          </w:tcPr>
          <w:p>
            <w:pPr>
              <w:jc w:val="center"/>
              <w:rPr>
                <w:rFonts w:ascii="宋体" w:hAnsi="宋体"/>
                <w:sz w:val="24"/>
              </w:rPr>
            </w:pPr>
            <w:r>
              <w:rPr>
                <w:rFonts w:hint="eastAsia" w:ascii="宋体" w:hAnsi="宋体"/>
                <w:sz w:val="24"/>
              </w:rPr>
              <w:t>备注</w:t>
            </w:r>
          </w:p>
        </w:tc>
        <w:tc>
          <w:tcPr>
            <w:tcW w:w="5763" w:type="dxa"/>
            <w:gridSpan w:val="3"/>
            <w:vAlign w:val="center"/>
          </w:tcPr>
          <w:p>
            <w:pPr>
              <w:rPr>
                <w:rFonts w:ascii="宋体" w:hAnsi="宋体"/>
                <w:sz w:val="24"/>
              </w:rPr>
            </w:pPr>
            <w:r>
              <w:rPr>
                <w:rFonts w:hint="eastAsia" w:ascii="宋体" w:hAnsi="宋体"/>
                <w:sz w:val="24"/>
              </w:rPr>
              <w:t>请将资料按招标公告要求发送至指定邮箱，同时留意邮箱回复。</w:t>
            </w:r>
          </w:p>
        </w:tc>
      </w:tr>
    </w:tbl>
    <w:p>
      <w:pPr>
        <w:tabs>
          <w:tab w:val="left" w:pos="2040"/>
        </w:tabs>
        <w:wordWrap w:val="0"/>
        <w:ind w:right="360"/>
        <w:jc w:val="right"/>
        <w:rPr>
          <w:szCs w:val="21"/>
        </w:rPr>
      </w:pPr>
    </w:p>
    <w:p>
      <w:pPr>
        <w:tabs>
          <w:tab w:val="left" w:pos="2040"/>
        </w:tabs>
        <w:wordWrap w:val="0"/>
        <w:ind w:right="360"/>
        <w:jc w:val="right"/>
        <w:rPr>
          <w:rFonts w:ascii="宋体" w:hAnsi="宋体"/>
          <w:szCs w:val="21"/>
        </w:rPr>
      </w:pPr>
      <w:r>
        <w:rPr>
          <w:rFonts w:hint="eastAsia"/>
          <w:szCs w:val="21"/>
        </w:rPr>
        <w:t>广州市白云城市建设投资有限公司制</w:t>
      </w:r>
    </w:p>
    <w:p>
      <w:pPr>
        <w:pStyle w:val="21"/>
      </w:pPr>
    </w:p>
    <w:p>
      <w:pPr>
        <w:spacing w:line="360" w:lineRule="auto"/>
        <w:rPr>
          <w:rFonts w:ascii="宋体" w:hAnsi="宋体"/>
          <w:sz w:val="24"/>
        </w:rPr>
      </w:pPr>
    </w:p>
    <w:p>
      <w:pPr>
        <w:adjustRightInd w:val="0"/>
        <w:snapToGrid w:val="0"/>
        <w:spacing w:line="360" w:lineRule="auto"/>
        <w:ind w:firstLine="435"/>
        <w:jc w:val="right"/>
        <w:rPr>
          <w:rFonts w:asciiTheme="minorEastAsia" w:hAnsiTheme="minorEastAsia" w:eastAsiaTheme="minorEastAsia"/>
          <w:b/>
          <w:bCs/>
          <w:sz w:val="24"/>
        </w:rPr>
      </w:pPr>
      <w:r>
        <w:rPr>
          <w:rFonts w:asciiTheme="minorEastAsia" w:hAnsiTheme="minorEastAsia" w:eastAsiaTheme="minorEastAsia"/>
          <w:b/>
          <w:bCs/>
          <w:sz w:val="24"/>
        </w:rPr>
        <w:br w:type="page"/>
      </w:r>
    </w:p>
    <w:bookmarkEnd w:id="8"/>
    <w:bookmarkEnd w:id="9"/>
    <w:p>
      <w:pPr>
        <w:widowControl/>
        <w:spacing w:line="360" w:lineRule="auto"/>
        <w:jc w:val="center"/>
        <w:outlineLvl w:val="0"/>
        <w:rPr>
          <w:b/>
          <w:bCs/>
          <w:sz w:val="28"/>
          <w:szCs w:val="28"/>
        </w:rPr>
      </w:pPr>
      <w:bookmarkStart w:id="10" w:name="_Toc2144"/>
      <w:bookmarkStart w:id="11" w:name="_Toc13067021"/>
      <w:bookmarkStart w:id="12" w:name="_Toc435109306"/>
      <w:bookmarkStart w:id="13" w:name="_Toc435514850"/>
      <w:bookmarkStart w:id="14" w:name="_Toc435115055"/>
      <w:r>
        <w:rPr>
          <w:rFonts w:hint="eastAsia"/>
          <w:b/>
          <w:bCs/>
          <w:sz w:val="28"/>
          <w:szCs w:val="28"/>
        </w:rPr>
        <w:t>第二章  用户需求书</w:t>
      </w:r>
      <w:bookmarkEnd w:id="10"/>
      <w:bookmarkEnd w:id="11"/>
    </w:p>
    <w:p>
      <w:pPr>
        <w:widowControl/>
        <w:numPr>
          <w:ilvl w:val="255"/>
          <w:numId w:val="0"/>
        </w:numPr>
        <w:tabs>
          <w:tab w:val="left" w:pos="210"/>
        </w:tabs>
        <w:spacing w:line="360" w:lineRule="auto"/>
        <w:jc w:val="center"/>
        <w:rPr>
          <w:rFonts w:cs="宋体" w:asciiTheme="minorEastAsia" w:hAnsiTheme="minorEastAsia" w:eastAsiaTheme="minorEastAsia"/>
          <w:b/>
          <w:sz w:val="24"/>
        </w:rPr>
      </w:pPr>
      <w:bookmarkStart w:id="15" w:name="_Toc690"/>
      <w:bookmarkStart w:id="16" w:name="_Toc263670110"/>
      <w:bookmarkStart w:id="17" w:name="_Toc13067019"/>
      <w:bookmarkStart w:id="18" w:name="_Toc13067017"/>
      <w:bookmarkStart w:id="19" w:name="_Toc13067022"/>
      <w:r>
        <w:rPr>
          <w:rFonts w:hint="eastAsia"/>
          <w:b/>
          <w:bCs/>
          <w:sz w:val="28"/>
          <w:szCs w:val="28"/>
        </w:rPr>
        <w:t>用户需求书</w:t>
      </w:r>
    </w:p>
    <w:p>
      <w:pPr>
        <w:widowControl/>
        <w:numPr>
          <w:ilvl w:val="255"/>
          <w:numId w:val="0"/>
        </w:numPr>
        <w:tabs>
          <w:tab w:val="left" w:pos="210"/>
        </w:tabs>
        <w:spacing w:line="360" w:lineRule="auto"/>
        <w:jc w:val="left"/>
        <w:rPr>
          <w:rFonts w:cs="宋体" w:asciiTheme="minorEastAsia" w:hAnsiTheme="minorEastAsia" w:eastAsiaTheme="minorEastAsia"/>
          <w:b/>
          <w:sz w:val="24"/>
        </w:rPr>
      </w:pPr>
      <w:r>
        <w:rPr>
          <w:rFonts w:hint="eastAsia" w:cs="宋体" w:asciiTheme="minorEastAsia" w:hAnsiTheme="minorEastAsia" w:eastAsiaTheme="minorEastAsia"/>
          <w:b/>
          <w:sz w:val="24"/>
        </w:rPr>
        <w:t>一、项目概况</w:t>
      </w:r>
      <w:bookmarkEnd w:id="15"/>
    </w:p>
    <w:p>
      <w:pPr>
        <w:snapToGrid w:val="0"/>
        <w:spacing w:line="360" w:lineRule="auto"/>
        <w:ind w:firstLine="420"/>
        <w:jc w:val="left"/>
        <w:rPr>
          <w:rFonts w:ascii="宋体" w:hAnsi="宋体" w:cs="宋体"/>
          <w:sz w:val="24"/>
        </w:rPr>
      </w:pPr>
      <w:r>
        <w:rPr>
          <w:rFonts w:hint="eastAsia" w:ascii="宋体" w:hAnsi="宋体" w:cs="宋体"/>
          <w:sz w:val="24"/>
        </w:rPr>
        <w:t>1、招标项目名称及最高投标限价：</w:t>
      </w:r>
    </w:p>
    <w:tbl>
      <w:tblPr>
        <w:tblStyle w:val="55"/>
        <w:tblW w:w="9253"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5" w:type="dxa"/>
            <w:noWrap/>
            <w:vAlign w:val="center"/>
          </w:tcPr>
          <w:p>
            <w:pPr>
              <w:widowControl/>
              <w:snapToGrid w:val="0"/>
              <w:spacing w:line="360" w:lineRule="auto"/>
              <w:jc w:val="center"/>
              <w:rPr>
                <w:rFonts w:ascii="宋体" w:hAnsi="宋体" w:cs="宋体"/>
                <w:kern w:val="0"/>
                <w:sz w:val="24"/>
              </w:rPr>
            </w:pPr>
            <w:r>
              <w:rPr>
                <w:rFonts w:hint="eastAsia" w:ascii="宋体" w:hAnsi="宋体" w:cs="宋体"/>
                <w:sz w:val="24"/>
              </w:rPr>
              <w:t>合同履行期限</w:t>
            </w:r>
          </w:p>
        </w:tc>
        <w:tc>
          <w:tcPr>
            <w:tcW w:w="4678" w:type="dxa"/>
            <w:noWrap/>
            <w:vAlign w:val="center"/>
          </w:tcPr>
          <w:p>
            <w:pPr>
              <w:widowControl/>
              <w:snapToGrid w:val="0"/>
              <w:spacing w:line="360" w:lineRule="auto"/>
              <w:jc w:val="center"/>
              <w:rPr>
                <w:rFonts w:ascii="宋体" w:hAnsi="宋体" w:cs="宋体"/>
                <w:sz w:val="24"/>
              </w:rPr>
            </w:pPr>
            <w:r>
              <w:rPr>
                <w:rFonts w:hint="eastAsia" w:ascii="宋体" w:hAnsi="宋体" w:cs="宋体"/>
                <w:sz w:val="24"/>
              </w:rPr>
              <w:t>服务期限为1年。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5" w:type="dxa"/>
            <w:noWrap/>
            <w:vAlign w:val="center"/>
          </w:tcPr>
          <w:p>
            <w:pPr>
              <w:widowControl/>
              <w:snapToGrid w:val="0"/>
              <w:spacing w:line="360" w:lineRule="auto"/>
              <w:jc w:val="center"/>
              <w:rPr>
                <w:rFonts w:ascii="宋体" w:hAnsi="宋体" w:cs="宋体"/>
                <w:sz w:val="24"/>
              </w:rPr>
            </w:pPr>
            <w:r>
              <w:rPr>
                <w:rFonts w:hint="eastAsia" w:ascii="宋体" w:hAnsi="宋体" w:cs="宋体"/>
                <w:sz w:val="24"/>
              </w:rPr>
              <w:t>中标人数量</w:t>
            </w:r>
          </w:p>
        </w:tc>
        <w:tc>
          <w:tcPr>
            <w:tcW w:w="4678" w:type="dxa"/>
            <w:noWrap/>
            <w:vAlign w:val="center"/>
          </w:tcPr>
          <w:p>
            <w:pPr>
              <w:widowControl/>
              <w:snapToGrid w:val="0"/>
              <w:spacing w:line="360" w:lineRule="auto"/>
              <w:jc w:val="center"/>
              <w:rPr>
                <w:rFonts w:ascii="宋体" w:hAnsi="宋体" w:cs="宋体"/>
                <w:sz w:val="24"/>
              </w:rPr>
            </w:pPr>
            <w:r>
              <w:rPr>
                <w:rFonts w:hint="eastAsia" w:ascii="宋体" w:hAnsi="宋体" w:cs="宋体"/>
                <w:sz w:val="24"/>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75" w:type="dxa"/>
            <w:noWrap/>
            <w:vAlign w:val="center"/>
          </w:tcPr>
          <w:p>
            <w:pPr>
              <w:widowControl/>
              <w:snapToGrid w:val="0"/>
              <w:spacing w:line="360" w:lineRule="auto"/>
              <w:jc w:val="center"/>
              <w:rPr>
                <w:rFonts w:ascii="宋体" w:hAnsi="宋体" w:cs="宋体"/>
                <w:sz w:val="24"/>
              </w:rPr>
            </w:pPr>
            <w:r>
              <w:rPr>
                <w:rFonts w:hint="eastAsia" w:ascii="宋体" w:hAnsi="宋体" w:cs="宋体"/>
                <w:sz w:val="24"/>
              </w:rPr>
              <w:t>报价方式</w:t>
            </w:r>
          </w:p>
        </w:tc>
        <w:tc>
          <w:tcPr>
            <w:tcW w:w="4678" w:type="dxa"/>
            <w:noWrap/>
            <w:vAlign w:val="center"/>
          </w:tcPr>
          <w:p>
            <w:pPr>
              <w:widowControl/>
              <w:snapToGrid w:val="0"/>
              <w:spacing w:line="360" w:lineRule="auto"/>
              <w:jc w:val="left"/>
              <w:rPr>
                <w:rFonts w:ascii="宋体" w:hAnsi="宋体" w:cs="宋体"/>
                <w:sz w:val="24"/>
              </w:rPr>
            </w:pPr>
            <w:r>
              <w:rPr>
                <w:rFonts w:hint="eastAsia" w:ascii="宋体" w:hAnsi="宋体" w:cs="宋体"/>
                <w:sz w:val="24"/>
              </w:rPr>
              <w:t>报总价、每月单价及下浮率。报价以“元”为单位，下浮率以“%”为单位，均四舍五入保留小数点后两位数。</w:t>
            </w:r>
          </w:p>
          <w:p>
            <w:pPr>
              <w:widowControl/>
              <w:snapToGrid w:val="0"/>
              <w:spacing w:line="360" w:lineRule="auto"/>
              <w:jc w:val="left"/>
              <w:rPr>
                <w:rFonts w:ascii="宋体" w:hAnsi="宋体" w:cs="宋体" w:eastAsiaTheme="minorEastAsia"/>
                <w:sz w:val="24"/>
              </w:rPr>
            </w:pPr>
            <w:r>
              <w:rPr>
                <w:rFonts w:hint="eastAsia" w:ascii="宋体" w:hAnsi="宋体" w:cs="宋体"/>
                <w:sz w:val="24"/>
              </w:rPr>
              <w:t>注:下浮率不得低于10%</w:t>
            </w:r>
            <w:r>
              <w:rPr>
                <w:rStyle w:val="63"/>
                <w:rFonts w:hint="eastAsia" w:ascii="宋体" w:hAnsi="宋体" w:cs="宋体"/>
                <w:sz w:val="24"/>
                <w:szCs w:val="24"/>
              </w:rPr>
              <w:t>（即下浮率报价应在10%至100%的范围内</w:t>
            </w:r>
            <w:r>
              <w:rPr>
                <w:rStyle w:val="63"/>
                <w:rFonts w:hint="eastAsia" w:ascii="宋体" w:hAnsi="宋体" w:cs="宋体"/>
                <w:sz w:val="24"/>
              </w:rPr>
              <w:t>，且投标下浮率是固定唯一的，不接受区间下浮率报价形式，如下浮率报价：10%-15%</w:t>
            </w:r>
            <w:r>
              <w:rPr>
                <w:rStyle w:val="63"/>
                <w:rFonts w:hint="eastAsia" w:ascii="宋体" w:hAnsi="宋体" w:cs="宋体"/>
                <w:sz w:val="24"/>
                <w:szCs w:val="24"/>
              </w:rPr>
              <w:t>）</w:t>
            </w:r>
          </w:p>
        </w:tc>
      </w:tr>
    </w:tbl>
    <w:p>
      <w:pPr>
        <w:widowControl/>
        <w:snapToGrid w:val="0"/>
        <w:spacing w:before="120" w:after="120" w:line="360" w:lineRule="auto"/>
        <w:ind w:firstLine="420"/>
        <w:jc w:val="left"/>
        <w:rPr>
          <w:rFonts w:ascii="宋体" w:hAnsi="宋体" w:cs="宋体"/>
          <w:sz w:val="24"/>
        </w:rPr>
      </w:pPr>
      <w:r>
        <w:rPr>
          <w:rFonts w:hint="eastAsia" w:ascii="宋体" w:hAnsi="宋体" w:cs="宋体"/>
          <w:sz w:val="24"/>
        </w:rPr>
        <w:t>2、招标项目说明：</w:t>
      </w:r>
    </w:p>
    <w:p>
      <w:pPr>
        <w:widowControl/>
        <w:numPr>
          <w:ilvl w:val="0"/>
          <w:numId w:val="4"/>
        </w:numPr>
        <w:spacing w:before="120" w:after="120" w:line="360" w:lineRule="auto"/>
        <w:ind w:left="0" w:firstLine="480" w:firstLineChars="200"/>
        <w:jc w:val="left"/>
        <w:rPr>
          <w:rFonts w:ascii="宋体" w:hAnsi="宋体" w:cs="宋体"/>
          <w:sz w:val="24"/>
        </w:rPr>
      </w:pPr>
      <w:r>
        <w:rPr>
          <w:rFonts w:hint="eastAsia" w:ascii="宋体" w:hAnsi="宋体" w:cs="宋体"/>
          <w:sz w:val="24"/>
        </w:rPr>
        <w:t>数量为预计数量，实际数量以验收数量为准，按实结算。</w:t>
      </w:r>
    </w:p>
    <w:p>
      <w:pPr>
        <w:widowControl/>
        <w:numPr>
          <w:ilvl w:val="0"/>
          <w:numId w:val="4"/>
        </w:numPr>
        <w:spacing w:before="120" w:after="120" w:line="360" w:lineRule="auto"/>
        <w:ind w:left="0" w:firstLine="480" w:firstLineChars="200"/>
        <w:jc w:val="left"/>
        <w:rPr>
          <w:rFonts w:ascii="宋体" w:hAnsi="宋体" w:cs="宋体"/>
          <w:sz w:val="24"/>
        </w:rPr>
      </w:pPr>
      <w:r>
        <w:rPr>
          <w:rFonts w:hint="eastAsia" w:ascii="宋体" w:hAnsi="宋体" w:cs="宋体"/>
          <w:sz w:val="24"/>
        </w:rPr>
        <w:t>项目服务地点：采购人指定地点</w:t>
      </w:r>
    </w:p>
    <w:p>
      <w:pPr>
        <w:widowControl/>
        <w:numPr>
          <w:ilvl w:val="0"/>
          <w:numId w:val="4"/>
        </w:numPr>
        <w:spacing w:before="120" w:after="120" w:line="360" w:lineRule="auto"/>
        <w:ind w:left="0" w:firstLine="480" w:firstLineChars="200"/>
        <w:jc w:val="left"/>
        <w:rPr>
          <w:rFonts w:ascii="宋体" w:hAnsi="宋体" w:cs="宋体"/>
          <w:sz w:val="24"/>
        </w:rPr>
      </w:pPr>
      <w:r>
        <w:rPr>
          <w:rFonts w:hint="eastAsia" w:ascii="宋体" w:hAnsi="宋体" w:cs="宋体"/>
          <w:sz w:val="24"/>
        </w:rPr>
        <w:t>项目结束时间：按合同规定。</w:t>
      </w:r>
    </w:p>
    <w:p>
      <w:pPr>
        <w:widowControl/>
        <w:snapToGrid w:val="0"/>
        <w:spacing w:before="120" w:after="120" w:line="360" w:lineRule="auto"/>
        <w:ind w:firstLine="420"/>
        <w:jc w:val="left"/>
        <w:rPr>
          <w:rFonts w:ascii="宋体" w:hAnsi="宋体" w:cs="宋体"/>
          <w:sz w:val="24"/>
        </w:rPr>
      </w:pPr>
      <w:r>
        <w:rPr>
          <w:rFonts w:hint="eastAsia" w:ascii="宋体" w:hAnsi="宋体" w:cs="宋体"/>
          <w:sz w:val="24"/>
        </w:rPr>
        <w:t>3、总体要求</w:t>
      </w:r>
    </w:p>
    <w:p>
      <w:pPr>
        <w:widowControl/>
        <w:numPr>
          <w:ilvl w:val="0"/>
          <w:numId w:val="5"/>
        </w:numPr>
        <w:spacing w:before="120" w:after="120" w:line="360" w:lineRule="auto"/>
        <w:ind w:left="0" w:firstLine="480" w:firstLineChars="200"/>
        <w:jc w:val="left"/>
        <w:rPr>
          <w:rFonts w:ascii="宋体" w:hAnsi="宋体" w:cs="宋体"/>
          <w:sz w:val="24"/>
        </w:rPr>
      </w:pPr>
      <w:r>
        <w:rPr>
          <w:rFonts w:hint="eastAsia" w:ascii="宋体" w:hAnsi="宋体" w:cs="宋体"/>
          <w:sz w:val="24"/>
        </w:rPr>
        <w:t>所供的货物必须符合《中华人民共和国食品卫生法》要求。</w:t>
      </w:r>
    </w:p>
    <w:p>
      <w:pPr>
        <w:widowControl/>
        <w:numPr>
          <w:ilvl w:val="0"/>
          <w:numId w:val="5"/>
        </w:numPr>
        <w:spacing w:before="120" w:after="120" w:line="360" w:lineRule="auto"/>
        <w:ind w:left="0" w:firstLine="480" w:firstLineChars="200"/>
        <w:jc w:val="left"/>
        <w:rPr>
          <w:rFonts w:ascii="宋体" w:hAnsi="宋体" w:cs="宋体"/>
          <w:sz w:val="24"/>
        </w:rPr>
      </w:pPr>
      <w:r>
        <w:rPr>
          <w:rFonts w:hint="eastAsia" w:ascii="宋体" w:hAnsi="宋体" w:cs="宋体"/>
          <w:sz w:val="24"/>
        </w:rPr>
        <w:t>投标人需承诺所供的货物必须符合国家有关标准，保证无异味、无霉烂变质，如不符合招标文件所描述的质量标准，必须退货并承担违约责任。</w:t>
      </w:r>
    </w:p>
    <w:p>
      <w:pPr>
        <w:widowControl/>
        <w:numPr>
          <w:ilvl w:val="0"/>
          <w:numId w:val="5"/>
        </w:numPr>
        <w:spacing w:before="120" w:after="120" w:line="360" w:lineRule="auto"/>
        <w:ind w:left="0" w:firstLine="480" w:firstLineChars="200"/>
        <w:jc w:val="left"/>
        <w:rPr>
          <w:rFonts w:ascii="宋体" w:hAnsi="宋体" w:cs="宋体"/>
          <w:sz w:val="24"/>
        </w:rPr>
      </w:pPr>
      <w:r>
        <w:rPr>
          <w:rFonts w:hint="eastAsia" w:ascii="宋体" w:hAnsi="宋体" w:cs="宋体"/>
          <w:sz w:val="24"/>
        </w:rPr>
        <w:t>所供货物必须符合国家行业生产及经营标准，货真价实，均能提供相应批次的合格检验证明。</w:t>
      </w:r>
    </w:p>
    <w:p>
      <w:pPr>
        <w:widowControl/>
        <w:numPr>
          <w:ilvl w:val="0"/>
          <w:numId w:val="5"/>
        </w:numPr>
        <w:spacing w:before="120" w:after="120" w:line="360" w:lineRule="auto"/>
        <w:ind w:left="0" w:firstLine="480" w:firstLineChars="200"/>
        <w:jc w:val="left"/>
        <w:rPr>
          <w:rFonts w:ascii="宋体" w:hAnsi="宋体" w:cs="宋体"/>
          <w:sz w:val="24"/>
        </w:rPr>
      </w:pPr>
      <w:r>
        <w:rPr>
          <w:rFonts w:hint="eastAsia" w:ascii="宋体" w:hAnsi="宋体" w:cs="宋体"/>
          <w:sz w:val="24"/>
        </w:rPr>
        <w:t>投标货物必须各项技术指标完全符合国家有关质量检测、环保标准及产品出厂标准。</w:t>
      </w:r>
    </w:p>
    <w:p>
      <w:pPr>
        <w:widowControl/>
        <w:numPr>
          <w:ilvl w:val="0"/>
          <w:numId w:val="5"/>
        </w:numPr>
        <w:spacing w:before="120" w:after="120" w:line="360" w:lineRule="auto"/>
        <w:ind w:left="0" w:firstLine="480" w:firstLineChars="200"/>
        <w:jc w:val="left"/>
        <w:rPr>
          <w:rFonts w:ascii="宋体" w:hAnsi="宋体" w:cs="宋体"/>
          <w:sz w:val="24"/>
        </w:rPr>
      </w:pPr>
      <w:r>
        <w:rPr>
          <w:rFonts w:hint="eastAsia" w:ascii="宋体" w:hAnsi="宋体" w:cs="宋体"/>
          <w:sz w:val="24"/>
        </w:rPr>
        <w:t>投标人必须负责中标货物的运输、质量检测等工作，所产生的费用由投标人负责。</w:t>
      </w:r>
    </w:p>
    <w:p>
      <w:pPr>
        <w:widowControl/>
        <w:numPr>
          <w:ilvl w:val="0"/>
          <w:numId w:val="5"/>
        </w:numPr>
        <w:spacing w:before="120" w:after="120" w:line="360" w:lineRule="auto"/>
        <w:ind w:left="0" w:firstLine="480" w:firstLineChars="200"/>
        <w:jc w:val="left"/>
        <w:rPr>
          <w:rFonts w:ascii="宋体" w:hAnsi="宋体" w:cs="宋体"/>
          <w:sz w:val="24"/>
        </w:rPr>
      </w:pPr>
      <w:r>
        <w:rPr>
          <w:rFonts w:hint="eastAsia" w:ascii="宋体" w:hAnsi="宋体" w:cs="宋体"/>
          <w:sz w:val="24"/>
        </w:rPr>
        <w:t>货物具体需求量以实际供应前一天通知的为准。</w:t>
      </w:r>
    </w:p>
    <w:p>
      <w:pPr>
        <w:widowControl/>
        <w:numPr>
          <w:ilvl w:val="0"/>
          <w:numId w:val="5"/>
        </w:numPr>
        <w:spacing w:before="120" w:after="120" w:line="360" w:lineRule="auto"/>
        <w:ind w:left="0" w:firstLine="480" w:firstLineChars="200"/>
        <w:jc w:val="left"/>
        <w:rPr>
          <w:rFonts w:ascii="宋体" w:hAnsi="宋体" w:cs="宋体"/>
          <w:sz w:val="24"/>
        </w:rPr>
      </w:pPr>
      <w:r>
        <w:rPr>
          <w:rFonts w:hint="eastAsia" w:ascii="宋体" w:hAnsi="宋体" w:cs="宋体"/>
          <w:sz w:val="24"/>
        </w:rPr>
        <w:t>投标人不得将中标项目转包、分包，否则采购人有权单方终止合同,由此产生的一切经济损失由投标人自行承担。</w:t>
      </w:r>
    </w:p>
    <w:p>
      <w:pPr>
        <w:widowControl/>
        <w:numPr>
          <w:ilvl w:val="0"/>
          <w:numId w:val="5"/>
        </w:numPr>
        <w:spacing w:before="120" w:after="120" w:line="360" w:lineRule="auto"/>
        <w:ind w:left="0" w:firstLine="480" w:firstLineChars="200"/>
        <w:jc w:val="left"/>
        <w:rPr>
          <w:rFonts w:ascii="宋体" w:hAnsi="宋体" w:cs="宋体"/>
          <w:sz w:val="24"/>
        </w:rPr>
      </w:pPr>
      <w:r>
        <w:rPr>
          <w:rFonts w:hint="eastAsia" w:ascii="宋体" w:hAnsi="宋体" w:cs="宋体"/>
          <w:sz w:val="24"/>
        </w:rPr>
        <w:t>采购人每年可不定期不少于五次，要求投标人提供采购人所指定食材的质量或安全检验报告。食材质量检验的费用由投标人承担。检验在投标人交货的最终目的地进行。</w:t>
      </w:r>
    </w:p>
    <w:p>
      <w:pPr>
        <w:widowControl/>
        <w:numPr>
          <w:ilvl w:val="0"/>
          <w:numId w:val="5"/>
        </w:numPr>
        <w:spacing w:before="120" w:after="120" w:line="360" w:lineRule="auto"/>
        <w:ind w:left="0" w:firstLine="480" w:firstLineChars="200"/>
        <w:jc w:val="left"/>
        <w:rPr>
          <w:rFonts w:ascii="宋体" w:hAnsi="宋体" w:cs="宋体"/>
          <w:sz w:val="24"/>
        </w:rPr>
      </w:pPr>
      <w:r>
        <w:rPr>
          <w:rFonts w:hint="eastAsia" w:ascii="宋体" w:hAnsi="宋体" w:cs="宋体"/>
          <w:sz w:val="24"/>
        </w:rPr>
        <w:t>投标人应积极配合采购人解决特殊情况下所需要的接待用餐，如果不能全部提供需要的计划材料清单上的货物，由采购人代买的，投标人需要实报实销发生的相关费用。</w:t>
      </w:r>
    </w:p>
    <w:p>
      <w:pPr>
        <w:widowControl/>
        <w:numPr>
          <w:ilvl w:val="0"/>
          <w:numId w:val="5"/>
        </w:numPr>
        <w:spacing w:before="120" w:after="120" w:line="360" w:lineRule="auto"/>
        <w:ind w:left="0" w:firstLine="480" w:firstLineChars="200"/>
        <w:jc w:val="left"/>
        <w:rPr>
          <w:rFonts w:ascii="宋体" w:hAnsi="宋体" w:cs="宋体"/>
          <w:sz w:val="24"/>
        </w:rPr>
      </w:pPr>
      <w:r>
        <w:rPr>
          <w:rFonts w:hint="eastAsia" w:ascii="宋体" w:hAnsi="宋体" w:cs="宋体"/>
          <w:sz w:val="24"/>
        </w:rPr>
        <w:t>由于采购人工作的特殊性，投标人应做好本单位工作人员的教育工作，遵守采购人各项规定。</w:t>
      </w:r>
    </w:p>
    <w:p>
      <w:pPr>
        <w:widowControl/>
        <w:numPr>
          <w:ilvl w:val="0"/>
          <w:numId w:val="5"/>
        </w:numPr>
        <w:spacing w:before="120" w:after="120" w:line="360" w:lineRule="auto"/>
        <w:ind w:left="0" w:firstLine="480" w:firstLineChars="200"/>
        <w:jc w:val="left"/>
        <w:rPr>
          <w:rFonts w:ascii="宋体" w:hAnsi="宋体" w:cs="宋体"/>
          <w:sz w:val="24"/>
        </w:rPr>
      </w:pPr>
      <w:r>
        <w:rPr>
          <w:rFonts w:hint="eastAsia" w:ascii="宋体" w:hAnsi="宋体" w:cs="宋体"/>
          <w:sz w:val="24"/>
        </w:rPr>
        <w:t>投标人除不可抗力，不得因其他任何理由延迟送货。采购人如遇特殊情况需推迟送货，应提前通知投标人。因投标人原因延误交货日期的（采购人要求推迟的除外），采购人有权自行采购，并由投标人承担由此产生的一切损失和费用。</w:t>
      </w:r>
    </w:p>
    <w:p>
      <w:pPr>
        <w:widowControl/>
        <w:numPr>
          <w:ilvl w:val="0"/>
          <w:numId w:val="5"/>
        </w:numPr>
        <w:spacing w:before="120" w:after="120" w:line="360" w:lineRule="auto"/>
        <w:ind w:left="0" w:firstLine="480" w:firstLineChars="200"/>
        <w:jc w:val="left"/>
        <w:rPr>
          <w:rFonts w:ascii="宋体" w:hAnsi="宋体" w:cs="宋体"/>
          <w:sz w:val="24"/>
        </w:rPr>
      </w:pPr>
      <w:r>
        <w:rPr>
          <w:rFonts w:hint="eastAsia" w:ascii="宋体" w:hAnsi="宋体" w:cs="宋体"/>
          <w:sz w:val="24"/>
        </w:rPr>
        <w:t>投标人不得变更供应货物，应严格按招标要求（含商标、名称、产地、规格和重量等）供应，否则，采购人有权拒收。如因市场流通问题确实需要变更的，应书面向采购人申请。</w:t>
      </w:r>
    </w:p>
    <w:p>
      <w:pPr>
        <w:widowControl/>
        <w:numPr>
          <w:ilvl w:val="0"/>
          <w:numId w:val="5"/>
        </w:numPr>
        <w:spacing w:before="120" w:after="120" w:line="360" w:lineRule="auto"/>
        <w:ind w:left="0" w:firstLine="480" w:firstLineChars="200"/>
        <w:jc w:val="left"/>
        <w:rPr>
          <w:rFonts w:ascii="宋体" w:hAnsi="宋体" w:cs="宋体"/>
          <w:sz w:val="24"/>
        </w:rPr>
      </w:pPr>
      <w:r>
        <w:rPr>
          <w:rFonts w:hint="eastAsia" w:ascii="宋体" w:hAnsi="宋体" w:cs="宋体"/>
          <w:sz w:val="24"/>
        </w:rPr>
        <w:t>采购人按合同对货物进行认真验收，对不符合规格要求的货物，供应商必须无条件退货；投标人未能履行招标文件和合同所定事项, 或供应不合格的、假冒伪劣、以次充好的货物，采购人退货后将记录在案，并对投标人予以处罚，除要承担因此产生的一切损失和费用外，情节严重的可取消其供应资格。</w:t>
      </w:r>
    </w:p>
    <w:p>
      <w:pPr>
        <w:widowControl/>
        <w:numPr>
          <w:ilvl w:val="0"/>
          <w:numId w:val="5"/>
        </w:numPr>
        <w:spacing w:before="120" w:after="120" w:line="360" w:lineRule="auto"/>
        <w:ind w:left="0" w:firstLine="480" w:firstLineChars="200"/>
        <w:jc w:val="left"/>
        <w:rPr>
          <w:rFonts w:ascii="宋体" w:hAnsi="宋体" w:cs="宋体"/>
          <w:sz w:val="24"/>
        </w:rPr>
      </w:pPr>
      <w:r>
        <w:rPr>
          <w:rFonts w:hint="eastAsia" w:ascii="宋体" w:hAnsi="宋体" w:cs="宋体"/>
          <w:sz w:val="24"/>
        </w:rPr>
        <w:t>投标人须开具国家正式发票。投标人按供应货物的销售额开具发票。</w:t>
      </w:r>
    </w:p>
    <w:p>
      <w:pPr>
        <w:widowControl/>
        <w:snapToGrid w:val="0"/>
        <w:spacing w:before="120" w:after="120" w:line="360" w:lineRule="auto"/>
        <w:outlineLvl w:val="1"/>
        <w:rPr>
          <w:rFonts w:cs="宋体" w:asciiTheme="minorEastAsia" w:hAnsiTheme="minorEastAsia" w:eastAsiaTheme="minorEastAsia"/>
          <w:b/>
          <w:sz w:val="24"/>
        </w:rPr>
      </w:pPr>
      <w:bookmarkStart w:id="20" w:name="_Toc15562"/>
      <w:r>
        <w:rPr>
          <w:rFonts w:hint="eastAsia" w:cs="宋体" w:asciiTheme="minorEastAsia" w:hAnsiTheme="minorEastAsia" w:eastAsiaTheme="minorEastAsia"/>
          <w:b/>
          <w:sz w:val="24"/>
        </w:rPr>
        <w:t>二、具体项目要求</w:t>
      </w:r>
      <w:bookmarkEnd w:id="20"/>
    </w:p>
    <w:p>
      <w:pPr>
        <w:spacing w:before="120" w:after="120" w:line="360" w:lineRule="auto"/>
        <w:ind w:firstLine="480" w:firstLineChars="200"/>
        <w:rPr>
          <w:rFonts w:ascii="宋体" w:hAnsi="宋体" w:cs="宋体"/>
          <w:bCs/>
          <w:sz w:val="24"/>
        </w:rPr>
      </w:pPr>
      <w:r>
        <w:rPr>
          <w:rFonts w:hint="eastAsia" w:ascii="宋体" w:hAnsi="宋体" w:cs="宋体"/>
          <w:bCs/>
          <w:sz w:val="24"/>
        </w:rPr>
        <w:t>1.蔬果类：蔬菜瓜果类来自大型的“无公害”蔬菜基地，保持良好的色泽和新鲜度，经检测无农药残留物，经过初步整理无泥沙、无黄叶、无虫眼等，符合国家食品卫生标准（蔬菜利用率不低于95%），每批次配送需提供相关的农药残留检测证明。</w:t>
      </w:r>
    </w:p>
    <w:p>
      <w:pPr>
        <w:spacing w:before="120" w:after="120" w:line="360" w:lineRule="auto"/>
        <w:ind w:firstLine="480" w:firstLineChars="200"/>
        <w:rPr>
          <w:rFonts w:ascii="宋体" w:hAnsi="宋体" w:cs="宋体"/>
          <w:bCs/>
          <w:sz w:val="24"/>
        </w:rPr>
      </w:pPr>
      <w:r>
        <w:rPr>
          <w:rFonts w:hint="eastAsia" w:ascii="宋体" w:hAnsi="宋体" w:cs="宋体"/>
          <w:bCs/>
          <w:sz w:val="24"/>
        </w:rPr>
        <w:t>2.海鲜河鲜类：属鲜活类产品应有氧运输，必须保证鲜活（利用率不低于90%），每批次配送需提供检疫部门检验合格证明。</w:t>
      </w:r>
    </w:p>
    <w:p>
      <w:pPr>
        <w:spacing w:before="120" w:after="120" w:line="360" w:lineRule="auto"/>
        <w:ind w:firstLine="480" w:firstLineChars="200"/>
        <w:rPr>
          <w:rFonts w:ascii="宋体" w:hAnsi="宋体" w:cs="宋体"/>
          <w:bCs/>
          <w:sz w:val="24"/>
        </w:rPr>
      </w:pPr>
      <w:r>
        <w:rPr>
          <w:rFonts w:hint="eastAsia" w:ascii="宋体" w:hAnsi="宋体" w:cs="宋体"/>
          <w:bCs/>
          <w:sz w:val="24"/>
        </w:rPr>
        <w:t>3.鲜肉类：鲜肉类必须提供广州市检疫部门出具的检疫合格证明，肉类保证来源于正规肉联厂，并保证为当日新鲜肉。色泽：具有固定的正常颜色，肌肉红色均匀，有光泽，脂肪洁白；外表：无泥污、无血迹、放血状况良好，肉边整齐、无破碎肉、无粘液渗出或很干的表皮，无点状等小颗粒白色寄生虫；全味；具有固定的正常气味（猪肉微腥、牛肉微膳、羊肉微膳）无臭味、腊味等异味；弹性：指压后凹陷，能恢复原状（鲜肉类利用率不低于95%）。</w:t>
      </w:r>
    </w:p>
    <w:p>
      <w:pPr>
        <w:spacing w:before="120" w:after="120" w:line="360" w:lineRule="auto"/>
        <w:ind w:firstLine="480" w:firstLineChars="200"/>
        <w:rPr>
          <w:rFonts w:ascii="宋体" w:hAnsi="宋体" w:cs="宋体"/>
          <w:bCs/>
          <w:sz w:val="24"/>
        </w:rPr>
      </w:pPr>
      <w:r>
        <w:rPr>
          <w:rFonts w:hint="eastAsia" w:ascii="宋体" w:hAnsi="宋体" w:cs="宋体"/>
          <w:bCs/>
          <w:sz w:val="24"/>
        </w:rPr>
        <w:t>4.家禽类：家禽、三鸟类鲜活、洁净、无病害、无注水、肉质鲜嫩、无异味；有市、区检疫部门检验合格证明。</w:t>
      </w:r>
    </w:p>
    <w:p>
      <w:pPr>
        <w:spacing w:before="120" w:after="120" w:line="360" w:lineRule="auto"/>
        <w:ind w:firstLine="480" w:firstLineChars="200"/>
        <w:rPr>
          <w:rFonts w:ascii="宋体" w:hAnsi="宋体" w:cs="宋体"/>
          <w:bCs/>
          <w:sz w:val="24"/>
        </w:rPr>
      </w:pPr>
      <w:r>
        <w:rPr>
          <w:rFonts w:hint="eastAsia" w:ascii="宋体" w:hAnsi="宋体" w:cs="宋体"/>
          <w:bCs/>
          <w:sz w:val="24"/>
        </w:rPr>
        <w:t>5.冷冻类：冷冻食材产地明确、厂名明确、生产日期、保质期、色泽光亮、无注水、无冰。</w:t>
      </w:r>
    </w:p>
    <w:p>
      <w:pPr>
        <w:spacing w:before="120" w:after="120" w:line="360" w:lineRule="auto"/>
        <w:ind w:firstLine="480" w:firstLineChars="200"/>
        <w:rPr>
          <w:rFonts w:ascii="宋体" w:hAnsi="宋体" w:cs="宋体"/>
          <w:bCs/>
          <w:sz w:val="24"/>
        </w:rPr>
      </w:pPr>
      <w:r>
        <w:rPr>
          <w:rFonts w:hint="eastAsia" w:ascii="宋体" w:hAnsi="宋体" w:cs="宋体"/>
          <w:bCs/>
          <w:sz w:val="24"/>
        </w:rPr>
        <w:t>6.干货类：粮油类、副食品、调味品类须为一级以上的优质品、有明确产地、生产商、生产日期、生产地址、有效期、规格型号、QS标志、外包装完整、无杂质；由正规厂家供货，相关证件齐全，并符合国家食品卫生标准，坚决杜绝出售假冒伪劣、变质、过期的产品（送货日期不超过保质期的1/4）。</w:t>
      </w:r>
    </w:p>
    <w:p>
      <w:pPr>
        <w:spacing w:before="120" w:after="120" w:line="360" w:lineRule="auto"/>
        <w:ind w:firstLine="480" w:firstLineChars="200"/>
        <w:rPr>
          <w:rFonts w:ascii="宋体" w:hAnsi="宋体" w:cs="宋体"/>
          <w:bCs/>
          <w:sz w:val="24"/>
        </w:rPr>
      </w:pPr>
      <w:r>
        <w:rPr>
          <w:rFonts w:hint="eastAsia" w:ascii="宋体" w:hAnsi="宋体" w:cs="宋体"/>
          <w:bCs/>
          <w:sz w:val="24"/>
        </w:rPr>
        <w:t>7.粮油类：保证新产及符合国家粮油质量标准。</w:t>
      </w:r>
    </w:p>
    <w:p>
      <w:pPr>
        <w:spacing w:before="120" w:after="120" w:line="360" w:lineRule="auto"/>
        <w:ind w:firstLine="480" w:firstLineChars="200"/>
        <w:rPr>
          <w:rFonts w:ascii="宋体" w:hAnsi="宋体" w:cs="宋体"/>
          <w:bCs/>
          <w:sz w:val="24"/>
        </w:rPr>
      </w:pPr>
      <w:r>
        <w:rPr>
          <w:rFonts w:hint="eastAsia" w:ascii="宋体" w:hAnsi="宋体" w:cs="宋体"/>
          <w:bCs/>
          <w:sz w:val="24"/>
        </w:rPr>
        <w:t>8.豆制品须来源于当地政府许可的正规厂商，相关证件齐全。</w:t>
      </w:r>
    </w:p>
    <w:p>
      <w:pPr>
        <w:pStyle w:val="7"/>
        <w:spacing w:before="120" w:after="120" w:line="360" w:lineRule="auto"/>
        <w:ind w:firstLine="480"/>
        <w:rPr>
          <w:rFonts w:ascii="宋体" w:hAnsi="宋体" w:cs="宋体"/>
          <w:bCs/>
          <w:sz w:val="24"/>
          <w:szCs w:val="24"/>
        </w:rPr>
      </w:pPr>
      <w:r>
        <w:rPr>
          <w:rFonts w:hint="eastAsia" w:ascii="宋体" w:hAnsi="宋体" w:cs="宋体"/>
          <w:bCs/>
          <w:sz w:val="24"/>
          <w:szCs w:val="24"/>
        </w:rPr>
        <w:t>上述所有的产品不能出现下列情况之一：</w:t>
      </w:r>
    </w:p>
    <w:p>
      <w:pPr>
        <w:pStyle w:val="7"/>
        <w:spacing w:before="120" w:after="120" w:line="360" w:lineRule="auto"/>
        <w:ind w:firstLine="480"/>
        <w:rPr>
          <w:rFonts w:ascii="宋体" w:hAnsi="宋体" w:cs="宋体"/>
          <w:bCs/>
          <w:sz w:val="24"/>
          <w:szCs w:val="24"/>
        </w:rPr>
      </w:pPr>
      <w:r>
        <w:rPr>
          <w:rFonts w:hint="eastAsia" w:ascii="宋体" w:hAnsi="宋体" w:cs="宋体"/>
          <w:bCs/>
          <w:sz w:val="24"/>
          <w:szCs w:val="24"/>
        </w:rPr>
        <w:t>1.腐败变质、油脂酸败、霉变、生虫、污秽不洁、混有异物或者其他感官性状异常，可能对人体健康有害的；</w:t>
      </w:r>
    </w:p>
    <w:p>
      <w:pPr>
        <w:pStyle w:val="7"/>
        <w:spacing w:before="120" w:after="120" w:line="360" w:lineRule="auto"/>
        <w:ind w:firstLine="480"/>
        <w:rPr>
          <w:rFonts w:ascii="宋体" w:hAnsi="宋体" w:cs="宋体"/>
          <w:bCs/>
          <w:sz w:val="24"/>
          <w:szCs w:val="24"/>
        </w:rPr>
      </w:pPr>
      <w:r>
        <w:rPr>
          <w:rFonts w:hint="eastAsia" w:ascii="宋体" w:hAnsi="宋体" w:cs="宋体"/>
          <w:bCs/>
          <w:sz w:val="24"/>
          <w:szCs w:val="24"/>
        </w:rPr>
        <w:t>2.含有毒、有害物质或者被有毒、有害物质污染，可能对人体健康有害的；</w:t>
      </w:r>
    </w:p>
    <w:p>
      <w:pPr>
        <w:pStyle w:val="7"/>
        <w:spacing w:before="120" w:after="120" w:line="360" w:lineRule="auto"/>
        <w:ind w:firstLine="480"/>
        <w:rPr>
          <w:rFonts w:ascii="宋体" w:hAnsi="宋体" w:cs="宋体"/>
          <w:bCs/>
          <w:sz w:val="24"/>
          <w:szCs w:val="24"/>
        </w:rPr>
      </w:pPr>
      <w:r>
        <w:rPr>
          <w:rFonts w:hint="eastAsia" w:ascii="宋体" w:hAnsi="宋体" w:cs="宋体"/>
          <w:bCs/>
          <w:sz w:val="24"/>
          <w:szCs w:val="24"/>
        </w:rPr>
        <w:t>3.含有致病性寄生虫、微生物的，或者微生物毒素含量超过国家限定标准的；</w:t>
      </w:r>
    </w:p>
    <w:p>
      <w:pPr>
        <w:pStyle w:val="7"/>
        <w:spacing w:before="120" w:after="120" w:line="360" w:lineRule="auto"/>
        <w:ind w:firstLine="480"/>
        <w:rPr>
          <w:rFonts w:ascii="宋体" w:hAnsi="宋体" w:cs="宋体"/>
          <w:bCs/>
          <w:sz w:val="24"/>
          <w:szCs w:val="24"/>
        </w:rPr>
      </w:pPr>
      <w:r>
        <w:rPr>
          <w:rFonts w:hint="eastAsia" w:ascii="宋体" w:hAnsi="宋体" w:cs="宋体"/>
          <w:bCs/>
          <w:sz w:val="24"/>
          <w:szCs w:val="24"/>
        </w:rPr>
        <w:t>4.未经兽医卫生检验或者检验不合格的肉类及其制品；</w:t>
      </w:r>
    </w:p>
    <w:p>
      <w:pPr>
        <w:pStyle w:val="7"/>
        <w:spacing w:before="120" w:after="120" w:line="360" w:lineRule="auto"/>
        <w:ind w:firstLine="480"/>
        <w:rPr>
          <w:rFonts w:ascii="宋体" w:hAnsi="宋体" w:cs="宋体"/>
          <w:bCs/>
          <w:sz w:val="24"/>
          <w:szCs w:val="24"/>
        </w:rPr>
      </w:pPr>
      <w:r>
        <w:rPr>
          <w:rFonts w:hint="eastAsia" w:ascii="宋体" w:hAnsi="宋体" w:cs="宋体"/>
          <w:bCs/>
          <w:sz w:val="24"/>
          <w:szCs w:val="24"/>
        </w:rPr>
        <w:t>5.病死、毒死或者死因不明的禽、畜、兽、水产动物等及其制品；</w:t>
      </w:r>
    </w:p>
    <w:p>
      <w:pPr>
        <w:pStyle w:val="7"/>
        <w:spacing w:before="120" w:after="120" w:line="360" w:lineRule="auto"/>
        <w:ind w:firstLine="480"/>
        <w:rPr>
          <w:rFonts w:ascii="宋体" w:hAnsi="宋体" w:cs="宋体"/>
          <w:bCs/>
          <w:sz w:val="24"/>
          <w:szCs w:val="24"/>
        </w:rPr>
      </w:pPr>
      <w:r>
        <w:rPr>
          <w:rFonts w:hint="eastAsia" w:ascii="宋体" w:hAnsi="宋体" w:cs="宋体"/>
          <w:bCs/>
          <w:sz w:val="24"/>
          <w:szCs w:val="24"/>
        </w:rPr>
        <w:t>6.容器包装污秽不洁、严重破损或者运输工具不洁造成污染的；</w:t>
      </w:r>
    </w:p>
    <w:p>
      <w:pPr>
        <w:pStyle w:val="7"/>
        <w:spacing w:before="120" w:after="120" w:line="360" w:lineRule="auto"/>
        <w:ind w:firstLine="480"/>
        <w:rPr>
          <w:rFonts w:ascii="宋体" w:hAnsi="宋体" w:cs="宋体"/>
          <w:bCs/>
          <w:sz w:val="24"/>
          <w:szCs w:val="24"/>
        </w:rPr>
      </w:pPr>
      <w:r>
        <w:rPr>
          <w:rFonts w:hint="eastAsia" w:ascii="宋体" w:hAnsi="宋体" w:cs="宋体"/>
          <w:bCs/>
          <w:sz w:val="24"/>
          <w:szCs w:val="24"/>
        </w:rPr>
        <w:t>7.搀假、搀杂、伪造，影响营养、卫生的；</w:t>
      </w:r>
    </w:p>
    <w:p>
      <w:pPr>
        <w:pStyle w:val="7"/>
        <w:spacing w:before="120" w:after="120" w:line="360" w:lineRule="auto"/>
        <w:ind w:firstLine="480"/>
        <w:rPr>
          <w:rFonts w:ascii="宋体" w:hAnsi="宋体" w:cs="宋体"/>
          <w:bCs/>
          <w:sz w:val="24"/>
          <w:szCs w:val="24"/>
        </w:rPr>
      </w:pPr>
      <w:r>
        <w:rPr>
          <w:rFonts w:hint="eastAsia" w:ascii="宋体" w:hAnsi="宋体" w:cs="宋体"/>
          <w:bCs/>
          <w:sz w:val="24"/>
          <w:szCs w:val="24"/>
        </w:rPr>
        <w:t>8.用非食品原料加工的、加入非食品用化学物质的或者将非食品当作食品的；</w:t>
      </w:r>
    </w:p>
    <w:p>
      <w:pPr>
        <w:pStyle w:val="7"/>
        <w:spacing w:before="120" w:after="120" w:line="360" w:lineRule="auto"/>
        <w:ind w:firstLine="480"/>
        <w:rPr>
          <w:rFonts w:ascii="宋体" w:hAnsi="宋体" w:cs="宋体"/>
          <w:bCs/>
          <w:sz w:val="24"/>
          <w:szCs w:val="24"/>
        </w:rPr>
      </w:pPr>
      <w:r>
        <w:rPr>
          <w:rFonts w:hint="eastAsia" w:ascii="宋体" w:hAnsi="宋体" w:cs="宋体"/>
          <w:bCs/>
          <w:sz w:val="24"/>
          <w:szCs w:val="24"/>
        </w:rPr>
        <w:t>9.超过保质期限的；</w:t>
      </w:r>
    </w:p>
    <w:p>
      <w:pPr>
        <w:pStyle w:val="7"/>
        <w:spacing w:before="120" w:after="120" w:line="360" w:lineRule="auto"/>
        <w:ind w:firstLine="480"/>
        <w:rPr>
          <w:rFonts w:ascii="宋体" w:hAnsi="宋体" w:cs="宋体"/>
          <w:bCs/>
          <w:sz w:val="24"/>
          <w:szCs w:val="24"/>
        </w:rPr>
      </w:pPr>
      <w:r>
        <w:rPr>
          <w:rFonts w:hint="eastAsia" w:ascii="宋体" w:hAnsi="宋体" w:cs="宋体"/>
          <w:bCs/>
          <w:sz w:val="24"/>
          <w:szCs w:val="24"/>
        </w:rPr>
        <w:t>10.为防病特殊需要，国务院卫生行政部门或者省、市人民政府专门规定禁止出售的；</w:t>
      </w:r>
    </w:p>
    <w:p>
      <w:pPr>
        <w:pStyle w:val="7"/>
        <w:spacing w:before="120" w:after="120" w:line="360" w:lineRule="auto"/>
        <w:ind w:firstLine="480"/>
        <w:rPr>
          <w:rFonts w:ascii="宋体" w:hAnsi="宋体" w:cs="宋体"/>
          <w:bCs/>
          <w:sz w:val="24"/>
          <w:szCs w:val="24"/>
        </w:rPr>
      </w:pPr>
      <w:r>
        <w:rPr>
          <w:rFonts w:hint="eastAsia" w:ascii="宋体" w:hAnsi="宋体" w:cs="宋体"/>
          <w:bCs/>
          <w:sz w:val="24"/>
          <w:szCs w:val="24"/>
        </w:rPr>
        <w:t>11.含有未经国务院卫生行政部门批准使用的添加剂或者农药残留超过国家规定许可量的；</w:t>
      </w:r>
    </w:p>
    <w:p>
      <w:pPr>
        <w:pStyle w:val="7"/>
        <w:spacing w:before="120" w:after="120" w:line="360" w:lineRule="auto"/>
        <w:ind w:firstLine="480"/>
        <w:rPr>
          <w:rFonts w:ascii="宋体" w:hAnsi="宋体" w:cs="宋体"/>
          <w:bCs/>
          <w:sz w:val="24"/>
          <w:szCs w:val="24"/>
        </w:rPr>
      </w:pPr>
      <w:r>
        <w:rPr>
          <w:rFonts w:hint="eastAsia" w:ascii="宋体" w:hAnsi="宋体" w:cs="宋体"/>
          <w:bCs/>
          <w:sz w:val="24"/>
          <w:szCs w:val="24"/>
        </w:rPr>
        <w:t>12.其他不符合食品卫生标准和要求的。</w:t>
      </w:r>
    </w:p>
    <w:p>
      <w:pPr>
        <w:widowControl/>
        <w:snapToGrid w:val="0"/>
        <w:spacing w:before="120" w:after="120" w:line="360" w:lineRule="auto"/>
        <w:outlineLvl w:val="1"/>
        <w:rPr>
          <w:rFonts w:cs="宋体" w:asciiTheme="minorEastAsia" w:hAnsiTheme="minorEastAsia" w:eastAsiaTheme="minorEastAsia"/>
          <w:b/>
          <w:sz w:val="24"/>
        </w:rPr>
      </w:pPr>
      <w:bookmarkStart w:id="21" w:name="_Toc22604"/>
      <w:r>
        <w:rPr>
          <w:rFonts w:hint="eastAsia" w:cs="宋体" w:asciiTheme="minorEastAsia" w:hAnsiTheme="minorEastAsia" w:eastAsiaTheme="minorEastAsia"/>
          <w:b/>
          <w:sz w:val="24"/>
        </w:rPr>
        <w:t>三、产品配送要求</w:t>
      </w:r>
      <w:bookmarkEnd w:id="21"/>
    </w:p>
    <w:p>
      <w:pPr>
        <w:widowControl/>
        <w:numPr>
          <w:ilvl w:val="2"/>
          <w:numId w:val="6"/>
        </w:numPr>
        <w:tabs>
          <w:tab w:val="left" w:pos="540"/>
        </w:tabs>
        <w:adjustRightInd w:val="0"/>
        <w:snapToGrid w:val="0"/>
        <w:spacing w:before="120" w:after="120" w:line="360" w:lineRule="auto"/>
        <w:ind w:left="0" w:firstLine="480" w:firstLineChars="200"/>
        <w:jc w:val="left"/>
        <w:rPr>
          <w:rFonts w:ascii="宋体" w:hAnsi="宋体" w:cs="宋体"/>
          <w:kern w:val="0"/>
          <w:sz w:val="24"/>
        </w:rPr>
      </w:pPr>
      <w:r>
        <w:rPr>
          <w:rFonts w:hint="eastAsia" w:ascii="宋体" w:hAnsi="宋体" w:cs="宋体"/>
          <w:kern w:val="0"/>
          <w:sz w:val="24"/>
        </w:rPr>
        <w:t>送货方式：以电话、传真、微信、或电子邮件等形式下单，订单的内容应清楚说明订购产品的品种、数量、要求、配送时间、送货地点等，投标人必须按采购人的要求送货。投标人接到订单后进行核对，如有非常规的食堂物资应及时与采购人沟通。投标人接到订单后3小时内未提出异议的，则视为接受订单。</w:t>
      </w:r>
    </w:p>
    <w:p>
      <w:pPr>
        <w:widowControl/>
        <w:numPr>
          <w:ilvl w:val="2"/>
          <w:numId w:val="6"/>
        </w:numPr>
        <w:tabs>
          <w:tab w:val="left" w:pos="540"/>
        </w:tabs>
        <w:adjustRightInd w:val="0"/>
        <w:snapToGrid w:val="0"/>
        <w:spacing w:before="120" w:after="120" w:line="360" w:lineRule="auto"/>
        <w:ind w:left="0" w:firstLine="480" w:firstLineChars="200"/>
        <w:jc w:val="left"/>
        <w:rPr>
          <w:rFonts w:ascii="宋体" w:hAnsi="宋体" w:cs="宋体"/>
          <w:kern w:val="0"/>
          <w:sz w:val="24"/>
        </w:rPr>
      </w:pPr>
      <w:r>
        <w:rPr>
          <w:rFonts w:hint="eastAsia" w:ascii="宋体" w:hAnsi="宋体" w:cs="宋体"/>
          <w:kern w:val="0"/>
          <w:sz w:val="24"/>
        </w:rPr>
        <w:t>交货地点：采购人指定的地点。</w:t>
      </w:r>
    </w:p>
    <w:p>
      <w:pPr>
        <w:widowControl/>
        <w:numPr>
          <w:ilvl w:val="2"/>
          <w:numId w:val="6"/>
        </w:numPr>
        <w:tabs>
          <w:tab w:val="left" w:pos="540"/>
        </w:tabs>
        <w:adjustRightInd w:val="0"/>
        <w:snapToGrid w:val="0"/>
        <w:spacing w:before="120" w:after="120" w:line="360" w:lineRule="auto"/>
        <w:ind w:left="0" w:firstLine="480" w:firstLineChars="200"/>
        <w:jc w:val="left"/>
        <w:rPr>
          <w:rFonts w:ascii="宋体" w:hAnsi="宋体" w:cs="宋体"/>
          <w:kern w:val="0"/>
          <w:sz w:val="24"/>
        </w:rPr>
      </w:pPr>
      <w:r>
        <w:rPr>
          <w:rFonts w:hint="eastAsia" w:ascii="宋体" w:hAnsi="宋体" w:cs="宋体"/>
          <w:kern w:val="0"/>
          <w:sz w:val="24"/>
        </w:rPr>
        <w:t>包装与标志要求：包装：容器(框、箱、袋)要求清洁、干燥、牢固、透气，无污染、无异味、无霉变现象。标志：每件包装必须按《农产品包装和标识管理办法》贴标签，并标明产地、品种、净含量、生产单位及地址和采收日期。</w:t>
      </w:r>
    </w:p>
    <w:p>
      <w:pPr>
        <w:widowControl/>
        <w:numPr>
          <w:ilvl w:val="2"/>
          <w:numId w:val="6"/>
        </w:numPr>
        <w:tabs>
          <w:tab w:val="left" w:pos="540"/>
        </w:tabs>
        <w:adjustRightInd w:val="0"/>
        <w:snapToGrid w:val="0"/>
        <w:spacing w:before="120" w:after="120" w:line="360" w:lineRule="auto"/>
        <w:ind w:left="0" w:firstLine="480" w:firstLineChars="200"/>
        <w:jc w:val="left"/>
        <w:rPr>
          <w:rFonts w:ascii="宋体" w:hAnsi="宋体" w:cs="宋体"/>
          <w:kern w:val="0"/>
          <w:sz w:val="24"/>
        </w:rPr>
      </w:pPr>
      <w:r>
        <w:rPr>
          <w:rFonts w:hint="eastAsia" w:ascii="宋体" w:hAnsi="宋体" w:cs="宋体"/>
          <w:kern w:val="0"/>
          <w:sz w:val="24"/>
        </w:rPr>
        <w:t>运输（冷藏或冷链运输车）要求：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widowControl/>
        <w:numPr>
          <w:ilvl w:val="2"/>
          <w:numId w:val="6"/>
        </w:numPr>
        <w:tabs>
          <w:tab w:val="left" w:pos="540"/>
        </w:tabs>
        <w:adjustRightInd w:val="0"/>
        <w:snapToGrid w:val="0"/>
        <w:spacing w:before="120" w:after="120" w:line="360" w:lineRule="auto"/>
        <w:ind w:left="0" w:firstLine="480" w:firstLineChars="200"/>
        <w:jc w:val="left"/>
        <w:rPr>
          <w:rFonts w:ascii="宋体" w:hAnsi="宋体" w:cs="宋体"/>
          <w:kern w:val="0"/>
          <w:sz w:val="24"/>
        </w:rPr>
      </w:pPr>
      <w:r>
        <w:rPr>
          <w:rFonts w:hint="eastAsia" w:ascii="宋体" w:hAnsi="宋体" w:cs="宋体"/>
          <w:kern w:val="0"/>
          <w:sz w:val="24"/>
        </w:rPr>
        <w:t>数量方面要求：保证配送品种重量的准确性，以采购人的验货数量为准，投标人每次随货送上一式两份的送货清单，供双方验货后签字确认，双方各持一份，作为送、收货的凭证</w:t>
      </w:r>
    </w:p>
    <w:p>
      <w:pPr>
        <w:widowControl/>
        <w:numPr>
          <w:ilvl w:val="2"/>
          <w:numId w:val="6"/>
        </w:numPr>
        <w:tabs>
          <w:tab w:val="left" w:pos="540"/>
        </w:tabs>
        <w:adjustRightInd w:val="0"/>
        <w:snapToGrid w:val="0"/>
        <w:spacing w:before="120" w:after="120" w:line="360" w:lineRule="auto"/>
        <w:ind w:left="0" w:firstLine="480" w:firstLineChars="200"/>
        <w:jc w:val="left"/>
        <w:rPr>
          <w:rFonts w:ascii="宋体" w:hAnsi="宋体" w:cs="宋体"/>
          <w:kern w:val="0"/>
          <w:sz w:val="24"/>
        </w:rPr>
      </w:pPr>
      <w:r>
        <w:rPr>
          <w:rFonts w:hint="eastAsia" w:ascii="宋体" w:hAnsi="宋体" w:cs="宋体"/>
          <w:kern w:val="0"/>
          <w:sz w:val="24"/>
        </w:rPr>
        <w:t>每次根据采购人的通知订购品种和数量后，24小时内送货，具体送货时间由采购人通知时约定，由采购人指定负责人验收过秤记录。对于不符合质量的品种采购人可退货或换货（由于</w:t>
      </w:r>
      <w:r>
        <w:rPr>
          <w:rFonts w:hint="eastAsia" w:ascii="宋体" w:hAnsi="宋体" w:cs="宋体"/>
          <w:sz w:val="24"/>
        </w:rPr>
        <w:t>货物</w:t>
      </w:r>
      <w:r>
        <w:rPr>
          <w:rFonts w:hint="eastAsia" w:ascii="宋体" w:hAnsi="宋体" w:cs="宋体"/>
          <w:kern w:val="0"/>
          <w:sz w:val="24"/>
        </w:rPr>
        <w:t>质量而造成员工或宾客发生安全事故时，投标人须承担全部责任）。</w:t>
      </w:r>
    </w:p>
    <w:p>
      <w:pPr>
        <w:widowControl/>
        <w:numPr>
          <w:ilvl w:val="2"/>
          <w:numId w:val="6"/>
        </w:numPr>
        <w:tabs>
          <w:tab w:val="left" w:pos="540"/>
        </w:tabs>
        <w:adjustRightInd w:val="0"/>
        <w:snapToGrid w:val="0"/>
        <w:spacing w:before="120" w:after="120" w:line="360" w:lineRule="auto"/>
        <w:ind w:left="0" w:firstLine="480" w:firstLineChars="200"/>
        <w:jc w:val="left"/>
        <w:rPr>
          <w:rFonts w:ascii="宋体" w:hAnsi="宋体" w:cs="宋体"/>
          <w:kern w:val="0"/>
          <w:sz w:val="24"/>
        </w:rPr>
      </w:pPr>
      <w:r>
        <w:rPr>
          <w:rFonts w:hint="eastAsia" w:ascii="宋体" w:hAnsi="宋体" w:cs="宋体"/>
          <w:kern w:val="0"/>
          <w:sz w:val="24"/>
        </w:rPr>
        <w:t>对采购人临时的供货要求，需随订随送，至少在3个小时内响应、快速将</w:t>
      </w:r>
      <w:r>
        <w:rPr>
          <w:rFonts w:hint="eastAsia" w:ascii="宋体" w:hAnsi="宋体" w:cs="宋体"/>
          <w:sz w:val="24"/>
        </w:rPr>
        <w:t>货物</w:t>
      </w:r>
      <w:r>
        <w:rPr>
          <w:rFonts w:hint="eastAsia" w:ascii="宋体" w:hAnsi="宋体" w:cs="宋体"/>
          <w:kern w:val="0"/>
          <w:sz w:val="24"/>
        </w:rPr>
        <w:t>配送到采购人指定的地点，保证采购人正常操作、准时开餐。</w:t>
      </w:r>
    </w:p>
    <w:p>
      <w:pPr>
        <w:widowControl/>
        <w:numPr>
          <w:ilvl w:val="2"/>
          <w:numId w:val="6"/>
        </w:numPr>
        <w:tabs>
          <w:tab w:val="left" w:pos="540"/>
        </w:tabs>
        <w:adjustRightInd w:val="0"/>
        <w:snapToGrid w:val="0"/>
        <w:spacing w:before="120" w:after="120" w:line="360" w:lineRule="auto"/>
        <w:ind w:left="0" w:firstLine="480" w:firstLineChars="200"/>
        <w:jc w:val="left"/>
        <w:rPr>
          <w:rFonts w:ascii="宋体" w:hAnsi="宋体" w:cs="宋体"/>
          <w:kern w:val="0"/>
          <w:sz w:val="24"/>
        </w:rPr>
      </w:pPr>
      <w:r>
        <w:rPr>
          <w:rFonts w:hint="eastAsia" w:ascii="宋体" w:hAnsi="宋体" w:cs="宋体"/>
          <w:sz w:val="24"/>
        </w:rPr>
        <w:t>货物</w:t>
      </w:r>
      <w:r>
        <w:rPr>
          <w:rFonts w:hint="eastAsia" w:ascii="宋体" w:hAnsi="宋体" w:cs="宋体"/>
          <w:kern w:val="0"/>
          <w:sz w:val="24"/>
        </w:rPr>
        <w:t>运抵交货地点，采购人验收合格后，投标人需按采购人要求，加工洗净肉类、蔬菜等，保证采购人收货后可直接入厨进行加工制作。</w:t>
      </w:r>
    </w:p>
    <w:p>
      <w:pPr>
        <w:widowControl/>
        <w:snapToGrid w:val="0"/>
        <w:spacing w:before="120" w:after="120" w:line="360" w:lineRule="auto"/>
        <w:outlineLvl w:val="1"/>
        <w:rPr>
          <w:rFonts w:cs="宋体" w:asciiTheme="minorEastAsia" w:hAnsiTheme="minorEastAsia" w:eastAsiaTheme="minorEastAsia"/>
          <w:b/>
          <w:sz w:val="24"/>
        </w:rPr>
      </w:pPr>
      <w:bookmarkStart w:id="22" w:name="_Toc6549"/>
      <w:r>
        <w:rPr>
          <w:rFonts w:hint="eastAsia" w:cs="宋体" w:asciiTheme="minorEastAsia" w:hAnsiTheme="minorEastAsia" w:eastAsiaTheme="minorEastAsia"/>
          <w:b/>
          <w:sz w:val="24"/>
        </w:rPr>
        <w:t>四、定价方式</w:t>
      </w:r>
      <w:bookmarkEnd w:id="22"/>
    </w:p>
    <w:p>
      <w:pPr>
        <w:widowControl/>
        <w:tabs>
          <w:tab w:val="left" w:pos="540"/>
          <w:tab w:val="left" w:pos="851"/>
        </w:tabs>
        <w:adjustRightInd w:val="0"/>
        <w:snapToGrid w:val="0"/>
        <w:spacing w:before="120" w:after="120" w:line="360" w:lineRule="auto"/>
        <w:ind w:firstLine="480" w:firstLineChars="200"/>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rPr>
        <w:tab/>
      </w:r>
      <w:r>
        <w:rPr>
          <w:rFonts w:hint="eastAsia" w:ascii="宋体" w:hAnsi="宋体" w:cs="宋体"/>
          <w:kern w:val="0"/>
          <w:sz w:val="24"/>
        </w:rPr>
        <w:t>所有配送</w:t>
      </w:r>
      <w:r>
        <w:rPr>
          <w:rFonts w:hint="eastAsia" w:ascii="宋体" w:hAnsi="宋体" w:cs="宋体"/>
          <w:sz w:val="24"/>
        </w:rPr>
        <w:t>货物</w:t>
      </w:r>
      <w:r>
        <w:rPr>
          <w:rFonts w:hint="eastAsia" w:ascii="宋体" w:hAnsi="宋体" w:cs="宋体"/>
          <w:kern w:val="0"/>
          <w:sz w:val="24"/>
        </w:rPr>
        <w:t>价格随行就市，投标人每月的1日、16日向采购人报价一次，经双方协商确认后执行。所有配送食材的价格均以广州市发展与改革委员会中广州菜篮子价格（https://121.8.226.252/basic/sendReportInfoes）公布的价格为基准价。若广州市菜篮子价格中没有或近期没有的个别物品，则双方参考周边市场零售价协商确定基准价。</w:t>
      </w:r>
    </w:p>
    <w:p>
      <w:pPr>
        <w:widowControl/>
        <w:tabs>
          <w:tab w:val="left" w:pos="540"/>
          <w:tab w:val="left" w:pos="851"/>
        </w:tabs>
        <w:adjustRightInd w:val="0"/>
        <w:snapToGrid w:val="0"/>
        <w:spacing w:before="120" w:after="120" w:line="360" w:lineRule="auto"/>
        <w:ind w:firstLine="480" w:firstLineChars="200"/>
        <w:jc w:val="left"/>
        <w:rPr>
          <w:rFonts w:ascii="宋体" w:hAnsi="宋体" w:cs="宋体"/>
          <w:kern w:val="0"/>
          <w:sz w:val="24"/>
        </w:rPr>
      </w:pPr>
      <w:r>
        <w:rPr>
          <w:rFonts w:hint="eastAsia" w:ascii="宋体" w:hAnsi="宋体" w:cs="宋体"/>
          <w:kern w:val="0"/>
          <w:sz w:val="24"/>
        </w:rPr>
        <w:t>2.</w:t>
      </w:r>
      <w:r>
        <w:rPr>
          <w:rFonts w:hint="eastAsia" w:ascii="宋体" w:hAnsi="宋体" w:cs="宋体"/>
          <w:kern w:val="0"/>
          <w:sz w:val="24"/>
        </w:rPr>
        <w:tab/>
      </w:r>
      <w:r>
        <w:rPr>
          <w:rFonts w:hint="eastAsia" w:ascii="宋体" w:hAnsi="宋体" w:cs="宋体"/>
          <w:kern w:val="0"/>
          <w:sz w:val="24"/>
        </w:rPr>
        <w:t>按月结算，结算价格＝基准价 ×（1 -中标下浮率）×当月实际供货量。</w:t>
      </w:r>
    </w:p>
    <w:p>
      <w:pPr>
        <w:widowControl/>
        <w:snapToGrid w:val="0"/>
        <w:spacing w:before="120" w:after="120" w:line="360" w:lineRule="auto"/>
        <w:outlineLvl w:val="1"/>
        <w:rPr>
          <w:rFonts w:cs="宋体" w:asciiTheme="minorEastAsia" w:hAnsiTheme="minorEastAsia" w:eastAsiaTheme="minorEastAsia"/>
          <w:b/>
          <w:sz w:val="24"/>
        </w:rPr>
      </w:pPr>
      <w:bookmarkStart w:id="23" w:name="_Toc1722"/>
      <w:r>
        <w:rPr>
          <w:rFonts w:hint="eastAsia" w:cs="宋体" w:asciiTheme="minorEastAsia" w:hAnsiTheme="minorEastAsia" w:eastAsiaTheme="minorEastAsia"/>
          <w:b/>
          <w:sz w:val="24"/>
        </w:rPr>
        <w:t>五、售后服务</w:t>
      </w:r>
      <w:bookmarkEnd w:id="23"/>
    </w:p>
    <w:p>
      <w:pPr>
        <w:pStyle w:val="36"/>
        <w:adjustRightInd w:val="0"/>
        <w:snapToGrid w:val="0"/>
        <w:spacing w:line="360" w:lineRule="auto"/>
        <w:ind w:firstLine="480" w:firstLineChars="200"/>
        <w:rPr>
          <w:rFonts w:ascii="宋体" w:hAnsi="宋体" w:cs="宋体"/>
          <w:b w:val="0"/>
          <w:bCs w:val="0"/>
          <w:caps w:val="0"/>
          <w:kern w:val="0"/>
          <w:sz w:val="24"/>
          <w:szCs w:val="24"/>
        </w:rPr>
      </w:pPr>
      <w:r>
        <w:rPr>
          <w:rFonts w:hint="eastAsia" w:ascii="宋体" w:hAnsi="宋体" w:cs="宋体"/>
          <w:b w:val="0"/>
          <w:bCs w:val="0"/>
          <w:caps w:val="0"/>
          <w:kern w:val="0"/>
          <w:sz w:val="24"/>
          <w:szCs w:val="24"/>
        </w:rPr>
        <w:t>有相应的售后服务以及应急保障方案，非采购人的人为原因而出现的质量问题，由投标人负责包换或包退，并承担因此而产生的一切费用。</w:t>
      </w:r>
    </w:p>
    <w:p>
      <w:pPr>
        <w:widowControl/>
        <w:snapToGrid w:val="0"/>
        <w:spacing w:before="120" w:after="120" w:line="360" w:lineRule="auto"/>
        <w:outlineLvl w:val="1"/>
        <w:rPr>
          <w:rFonts w:cs="宋体" w:asciiTheme="minorEastAsia" w:hAnsiTheme="minorEastAsia" w:eastAsiaTheme="minorEastAsia"/>
          <w:b/>
          <w:sz w:val="24"/>
        </w:rPr>
      </w:pPr>
      <w:bookmarkStart w:id="24" w:name="_Toc9981"/>
      <w:r>
        <w:rPr>
          <w:rFonts w:hint="eastAsia" w:cs="宋体" w:asciiTheme="minorEastAsia" w:hAnsiTheme="minorEastAsia" w:eastAsiaTheme="minorEastAsia"/>
          <w:b/>
          <w:sz w:val="24"/>
        </w:rPr>
        <w:t>六、付款方式</w:t>
      </w:r>
      <w:bookmarkEnd w:id="24"/>
    </w:p>
    <w:p>
      <w:pPr>
        <w:pStyle w:val="36"/>
        <w:adjustRightInd w:val="0"/>
        <w:snapToGrid w:val="0"/>
        <w:spacing w:line="360" w:lineRule="auto"/>
        <w:ind w:firstLine="480" w:firstLineChars="200"/>
        <w:rPr>
          <w:rFonts w:ascii="宋体" w:hAnsi="宋体" w:cs="宋体"/>
          <w:b w:val="0"/>
          <w:bCs w:val="0"/>
          <w:caps w:val="0"/>
          <w:kern w:val="0"/>
          <w:sz w:val="24"/>
          <w:szCs w:val="24"/>
        </w:rPr>
      </w:pPr>
      <w:r>
        <w:rPr>
          <w:rFonts w:hint="eastAsia" w:ascii="宋体" w:hAnsi="宋体" w:cs="宋体"/>
          <w:b w:val="0"/>
          <w:bCs w:val="0"/>
          <w:caps w:val="0"/>
          <w:kern w:val="0"/>
          <w:sz w:val="24"/>
          <w:szCs w:val="24"/>
        </w:rPr>
        <w:t>1.</w:t>
      </w:r>
      <w:r>
        <w:rPr>
          <w:rFonts w:hint="eastAsia" w:ascii="宋体" w:hAnsi="宋体" w:cs="宋体"/>
          <w:b w:val="0"/>
          <w:bCs w:val="0"/>
          <w:caps w:val="0"/>
          <w:kern w:val="0"/>
          <w:sz w:val="24"/>
          <w:szCs w:val="24"/>
        </w:rPr>
        <w:tab/>
      </w:r>
      <w:r>
        <w:rPr>
          <w:rFonts w:hint="eastAsia" w:ascii="宋体" w:hAnsi="宋体" w:cs="宋体"/>
          <w:b w:val="0"/>
          <w:bCs w:val="0"/>
          <w:caps w:val="0"/>
          <w:kern w:val="0"/>
          <w:sz w:val="24"/>
          <w:szCs w:val="24"/>
        </w:rPr>
        <w:t>由采购人每月按实际需求的</w:t>
      </w:r>
      <w:r>
        <w:rPr>
          <w:rFonts w:hint="eastAsia" w:ascii="宋体" w:hAnsi="宋体" w:cs="宋体"/>
          <w:b w:val="0"/>
          <w:bCs w:val="0"/>
          <w:sz w:val="24"/>
        </w:rPr>
        <w:t>货物</w:t>
      </w:r>
      <w:r>
        <w:rPr>
          <w:rFonts w:hint="eastAsia" w:ascii="宋体" w:hAnsi="宋体" w:cs="宋体"/>
          <w:b w:val="0"/>
          <w:bCs w:val="0"/>
          <w:caps w:val="0"/>
          <w:kern w:val="0"/>
          <w:sz w:val="24"/>
          <w:szCs w:val="24"/>
        </w:rPr>
        <w:t>结算一次。</w:t>
      </w:r>
    </w:p>
    <w:p>
      <w:pPr>
        <w:pStyle w:val="36"/>
        <w:adjustRightInd w:val="0"/>
        <w:snapToGrid w:val="0"/>
        <w:spacing w:line="360" w:lineRule="auto"/>
        <w:ind w:firstLine="480" w:firstLineChars="200"/>
        <w:rPr>
          <w:rFonts w:ascii="宋体" w:hAnsi="宋体" w:cs="宋体"/>
          <w:b w:val="0"/>
          <w:bCs w:val="0"/>
          <w:caps w:val="0"/>
          <w:kern w:val="0"/>
          <w:sz w:val="24"/>
          <w:szCs w:val="24"/>
        </w:rPr>
      </w:pPr>
      <w:r>
        <w:rPr>
          <w:rFonts w:hint="eastAsia" w:ascii="宋体" w:hAnsi="宋体" w:cs="宋体"/>
          <w:b w:val="0"/>
          <w:bCs w:val="0"/>
          <w:caps w:val="0"/>
          <w:kern w:val="0"/>
          <w:sz w:val="24"/>
          <w:szCs w:val="24"/>
        </w:rPr>
        <w:t>2.</w:t>
      </w:r>
      <w:r>
        <w:rPr>
          <w:rFonts w:hint="eastAsia" w:ascii="宋体" w:hAnsi="宋体" w:cs="宋体"/>
          <w:b w:val="0"/>
          <w:bCs w:val="0"/>
          <w:caps w:val="0"/>
          <w:kern w:val="0"/>
          <w:sz w:val="24"/>
          <w:szCs w:val="24"/>
        </w:rPr>
        <w:tab/>
      </w:r>
      <w:r>
        <w:rPr>
          <w:rFonts w:hint="eastAsia" w:ascii="宋体" w:hAnsi="宋体" w:cs="宋体"/>
          <w:b w:val="0"/>
          <w:bCs w:val="0"/>
          <w:caps w:val="0"/>
          <w:kern w:val="0"/>
          <w:sz w:val="24"/>
          <w:szCs w:val="24"/>
        </w:rPr>
        <w:t>付款方式：投标人完成当月供货订单后，于次月10日前凭国家正式发票向采购人申请付款，采购人收到申请后在15日内支付，遇法定节假日相应顺延。每月</w:t>
      </w:r>
      <w:r>
        <w:rPr>
          <w:rFonts w:hint="eastAsia" w:ascii="宋体" w:hAnsi="宋体" w:cs="宋体"/>
          <w:b w:val="0"/>
          <w:bCs w:val="0"/>
          <w:sz w:val="24"/>
        </w:rPr>
        <w:t>货物</w:t>
      </w:r>
      <w:r>
        <w:rPr>
          <w:rFonts w:hint="eastAsia" w:ascii="宋体" w:hAnsi="宋体" w:cs="宋体"/>
          <w:b w:val="0"/>
          <w:bCs w:val="0"/>
          <w:caps w:val="0"/>
          <w:kern w:val="0"/>
          <w:sz w:val="24"/>
          <w:szCs w:val="24"/>
        </w:rPr>
        <w:t>结算单由采购人指定的人员进行核实并签名确认，采购人每月签名确认的结算单将作为双方每月结算时的结算凭证之一。</w:t>
      </w:r>
    </w:p>
    <w:p>
      <w:pPr>
        <w:widowControl/>
        <w:snapToGrid w:val="0"/>
        <w:spacing w:before="120" w:after="120" w:line="360" w:lineRule="auto"/>
        <w:outlineLvl w:val="1"/>
        <w:rPr>
          <w:rFonts w:cs="宋体" w:asciiTheme="minorEastAsia" w:hAnsiTheme="minorEastAsia" w:eastAsiaTheme="minorEastAsia"/>
          <w:b/>
          <w:sz w:val="24"/>
        </w:rPr>
      </w:pPr>
      <w:r>
        <w:rPr>
          <w:rFonts w:hint="eastAsia" w:cs="宋体" w:asciiTheme="minorEastAsia" w:hAnsiTheme="minorEastAsia" w:eastAsiaTheme="minorEastAsia"/>
          <w:b/>
          <w:sz w:val="24"/>
        </w:rPr>
        <w:t>七、其他服务</w:t>
      </w:r>
    </w:p>
    <w:p>
      <w:pPr>
        <w:pStyle w:val="36"/>
        <w:adjustRightInd w:val="0"/>
        <w:snapToGrid w:val="0"/>
        <w:spacing w:line="360" w:lineRule="auto"/>
        <w:ind w:firstLine="480" w:firstLineChars="200"/>
        <w:rPr>
          <w:rFonts w:ascii="宋体" w:hAnsi="宋体" w:cs="宋体"/>
          <w:b w:val="0"/>
          <w:bCs w:val="0"/>
          <w:caps w:val="0"/>
          <w:kern w:val="0"/>
          <w:sz w:val="24"/>
          <w:szCs w:val="24"/>
        </w:rPr>
      </w:pPr>
      <w:r>
        <w:rPr>
          <w:rFonts w:hint="eastAsia" w:ascii="宋体" w:hAnsi="宋体" w:cs="宋体"/>
          <w:b w:val="0"/>
          <w:bCs w:val="0"/>
          <w:caps w:val="0"/>
          <w:kern w:val="0"/>
          <w:sz w:val="24"/>
          <w:szCs w:val="24"/>
        </w:rPr>
        <w:t>若采购人有紧急采购需求，提前12小时向投标人提出采购清单，投标人应及时响应。</w:t>
      </w:r>
    </w:p>
    <w:p>
      <w:pPr>
        <w:spacing w:line="360" w:lineRule="auto"/>
        <w:rPr>
          <w:rFonts w:ascii="宋体" w:hAnsi="宋体" w:cs="宋体"/>
          <w:kern w:val="0"/>
          <w:sz w:val="24"/>
        </w:rPr>
        <w:sectPr>
          <w:pgSz w:w="11906" w:h="16838"/>
          <w:pgMar w:top="1440" w:right="1286" w:bottom="1440" w:left="1440" w:header="851" w:footer="992" w:gutter="0"/>
          <w:cols w:space="720" w:num="1"/>
          <w:docGrid w:type="lines" w:linePitch="312" w:charSpace="0"/>
        </w:sectPr>
      </w:pPr>
      <w:r>
        <w:rPr>
          <w:rFonts w:hint="eastAsia" w:ascii="宋体" w:hAnsi="宋体" w:cs="宋体"/>
          <w:kern w:val="0"/>
          <w:sz w:val="24"/>
        </w:rPr>
        <w:t xml:space="preserve">  </w:t>
      </w:r>
    </w:p>
    <w:p/>
    <w:bookmarkEnd w:id="16"/>
    <w:p>
      <w:pPr>
        <w:widowControl/>
        <w:spacing w:line="360" w:lineRule="auto"/>
        <w:jc w:val="center"/>
        <w:outlineLvl w:val="0"/>
        <w:rPr>
          <w:b/>
          <w:bCs/>
          <w:sz w:val="28"/>
          <w:szCs w:val="28"/>
        </w:rPr>
      </w:pPr>
      <w:bookmarkStart w:id="25" w:name="_Toc24331"/>
      <w:r>
        <w:rPr>
          <w:rFonts w:hint="eastAsia"/>
          <w:b/>
          <w:bCs/>
          <w:sz w:val="28"/>
          <w:szCs w:val="28"/>
        </w:rPr>
        <w:t>第三章  评标方法</w:t>
      </w:r>
      <w:bookmarkEnd w:id="17"/>
      <w:r>
        <w:rPr>
          <w:rFonts w:hint="eastAsia"/>
          <w:b/>
          <w:bCs/>
          <w:sz w:val="28"/>
          <w:szCs w:val="28"/>
        </w:rPr>
        <w:t>和标准</w:t>
      </w:r>
      <w:bookmarkEnd w:id="25"/>
    </w:p>
    <w:p>
      <w:pPr>
        <w:pStyle w:val="101"/>
        <w:numPr>
          <w:ilvl w:val="0"/>
          <w:numId w:val="7"/>
        </w:numPr>
        <w:tabs>
          <w:tab w:val="left" w:pos="420"/>
          <w:tab w:val="left" w:pos="630"/>
        </w:tabs>
        <w:autoSpaceDE w:val="0"/>
        <w:autoSpaceDN w:val="0"/>
        <w:adjustRightInd w:val="0"/>
        <w:snapToGrid w:val="0"/>
        <w:spacing w:line="360" w:lineRule="auto"/>
        <w:ind w:firstLineChars="0"/>
        <w:rPr>
          <w:rFonts w:ascii="宋体" w:hAnsi="宋体"/>
          <w:b/>
          <w:sz w:val="24"/>
        </w:rPr>
      </w:pPr>
      <w:r>
        <w:rPr>
          <w:rFonts w:hint="eastAsia" w:ascii="宋体" w:hAnsi="宋体"/>
          <w:b/>
          <w:sz w:val="24"/>
        </w:rPr>
        <w:t>说明：</w:t>
      </w:r>
    </w:p>
    <w:p>
      <w:pPr>
        <w:pStyle w:val="101"/>
        <w:numPr>
          <w:ilvl w:val="0"/>
          <w:numId w:val="8"/>
        </w:numPr>
        <w:tabs>
          <w:tab w:val="left" w:pos="630"/>
        </w:tabs>
        <w:autoSpaceDE w:val="0"/>
        <w:autoSpaceDN w:val="0"/>
        <w:adjustRightInd w:val="0"/>
        <w:snapToGrid w:val="0"/>
        <w:spacing w:line="360" w:lineRule="auto"/>
        <w:ind w:left="567" w:hanging="567" w:firstLineChars="0"/>
        <w:rPr>
          <w:rFonts w:ascii="宋体" w:hAnsi="宋体"/>
          <w:sz w:val="24"/>
        </w:rPr>
      </w:pPr>
      <w:r>
        <w:rPr>
          <w:rFonts w:hint="eastAsia" w:ascii="宋体" w:hAnsi="宋体"/>
          <w:sz w:val="24"/>
        </w:rPr>
        <w:t>投标人必须严格按照《资格性审查表》、《符合性审查表》的评审内容的要求如实提供证明材料，若投标人不满足《资格性审查表》、《符合性审查表》中任何情形之一的，则其投标无效。</w:t>
      </w:r>
    </w:p>
    <w:p>
      <w:pPr>
        <w:pStyle w:val="101"/>
        <w:numPr>
          <w:ilvl w:val="0"/>
          <w:numId w:val="8"/>
        </w:numPr>
        <w:tabs>
          <w:tab w:val="left" w:pos="630"/>
        </w:tabs>
        <w:autoSpaceDE w:val="0"/>
        <w:autoSpaceDN w:val="0"/>
        <w:adjustRightInd w:val="0"/>
        <w:snapToGrid w:val="0"/>
        <w:spacing w:line="360" w:lineRule="auto"/>
        <w:ind w:left="567" w:hanging="567" w:firstLineChars="0"/>
        <w:rPr>
          <w:rFonts w:ascii="宋体" w:hAnsi="宋体"/>
          <w:strike/>
          <w:sz w:val="24"/>
        </w:rPr>
      </w:pPr>
      <w:r>
        <w:rPr>
          <w:rFonts w:hint="eastAsia" w:ascii="宋体" w:hAnsi="宋体"/>
          <w:sz w:val="24"/>
        </w:rPr>
        <w:t>资格性、符合性审查内容详见《资格性审查表》、《符合性审查表》。</w:t>
      </w:r>
    </w:p>
    <w:p>
      <w:pPr>
        <w:pStyle w:val="101"/>
        <w:numPr>
          <w:ilvl w:val="0"/>
          <w:numId w:val="8"/>
        </w:numPr>
        <w:tabs>
          <w:tab w:val="left" w:pos="630"/>
        </w:tabs>
        <w:autoSpaceDE w:val="0"/>
        <w:autoSpaceDN w:val="0"/>
        <w:adjustRightInd w:val="0"/>
        <w:snapToGrid w:val="0"/>
        <w:spacing w:line="360" w:lineRule="auto"/>
        <w:ind w:left="567" w:hanging="567" w:firstLineChars="0"/>
        <w:rPr>
          <w:rFonts w:ascii="宋体" w:hAnsi="宋体"/>
          <w:sz w:val="24"/>
        </w:rPr>
      </w:pPr>
      <w:r>
        <w:rPr>
          <w:rFonts w:hint="eastAsia" w:ascii="宋体" w:hAnsi="宋体"/>
          <w:sz w:val="24"/>
        </w:rPr>
        <w:t>技术、商务评分：评标委员会各成员分值的算术平均值（四舍五入后，小数点后保留两位有效数）。</w:t>
      </w:r>
    </w:p>
    <w:p>
      <w:pPr>
        <w:pStyle w:val="101"/>
        <w:numPr>
          <w:ilvl w:val="0"/>
          <w:numId w:val="8"/>
        </w:numPr>
        <w:tabs>
          <w:tab w:val="left" w:pos="630"/>
        </w:tabs>
        <w:autoSpaceDE w:val="0"/>
        <w:autoSpaceDN w:val="0"/>
        <w:adjustRightInd w:val="0"/>
        <w:snapToGrid w:val="0"/>
        <w:spacing w:line="360" w:lineRule="auto"/>
        <w:ind w:left="567" w:hanging="567" w:firstLineChars="0"/>
        <w:rPr>
          <w:rFonts w:ascii="宋体" w:hAnsi="宋体"/>
          <w:sz w:val="24"/>
        </w:rPr>
      </w:pPr>
      <w:r>
        <w:rPr>
          <w:rFonts w:hint="eastAsia" w:ascii="宋体" w:hAnsi="宋体"/>
          <w:sz w:val="24"/>
        </w:rPr>
        <w:t>投标人应如实提交《综合评分表》要求提交的相关各类证明、资料等，投标人如未按要求提交的，该项评分为零分。</w:t>
      </w:r>
    </w:p>
    <w:p>
      <w:pPr>
        <w:widowControl/>
        <w:jc w:val="left"/>
        <w:rPr>
          <w:rFonts w:ascii="黑体" w:hAnsi="宋体" w:eastAsia="黑体" w:cs="宋体"/>
          <w:sz w:val="28"/>
          <w:szCs w:val="28"/>
        </w:rPr>
      </w:pPr>
      <w:bookmarkStart w:id="26" w:name="_Toc435514846"/>
      <w:r>
        <w:rPr>
          <w:rFonts w:ascii="黑体" w:hAnsi="宋体" w:eastAsia="黑体" w:cs="宋体"/>
          <w:sz w:val="28"/>
          <w:szCs w:val="28"/>
        </w:rPr>
        <w:br w:type="page"/>
      </w:r>
    </w:p>
    <w:p>
      <w:pPr>
        <w:adjustRightInd w:val="0"/>
        <w:snapToGrid w:val="0"/>
        <w:spacing w:before="156" w:beforeLines="50" w:line="360" w:lineRule="auto"/>
        <w:jc w:val="center"/>
        <w:outlineLvl w:val="3"/>
        <w:rPr>
          <w:rFonts w:ascii="黑体" w:hAnsi="宋体" w:eastAsia="黑体" w:cs="宋体"/>
          <w:sz w:val="28"/>
          <w:szCs w:val="28"/>
        </w:rPr>
      </w:pPr>
      <w:r>
        <w:rPr>
          <w:rFonts w:hint="eastAsia" w:ascii="黑体" w:hAnsi="宋体" w:eastAsia="黑体" w:cs="宋体"/>
          <w:sz w:val="28"/>
          <w:szCs w:val="28"/>
        </w:rPr>
        <w:t>资格性审查表</w:t>
      </w:r>
    </w:p>
    <w:tbl>
      <w:tblPr>
        <w:tblStyle w:val="55"/>
        <w:tblW w:w="94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0"/>
        <w:gridCol w:w="82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180" w:type="dxa"/>
            <w:vAlign w:val="center"/>
          </w:tcPr>
          <w:p>
            <w:pPr>
              <w:jc w:val="center"/>
              <w:rPr>
                <w:rFonts w:ascii="宋体" w:cs="宋体"/>
                <w:b/>
                <w:sz w:val="24"/>
              </w:rPr>
            </w:pPr>
            <w:r>
              <w:rPr>
                <w:rFonts w:hint="eastAsia" w:ascii="宋体" w:cs="宋体"/>
                <w:b/>
                <w:sz w:val="24"/>
              </w:rPr>
              <w:t>序号</w:t>
            </w:r>
          </w:p>
        </w:tc>
        <w:tc>
          <w:tcPr>
            <w:tcW w:w="8275" w:type="dxa"/>
            <w:vAlign w:val="center"/>
          </w:tcPr>
          <w:p>
            <w:pPr>
              <w:jc w:val="center"/>
              <w:rPr>
                <w:rFonts w:ascii="宋体" w:cs="宋体"/>
                <w:b/>
                <w:sz w:val="24"/>
              </w:rPr>
            </w:pPr>
            <w:r>
              <w:rPr>
                <w:rFonts w:hint="eastAsia" w:ascii="宋体" w:hAnsi="宋体" w:cs="宋体"/>
                <w:b/>
                <w:sz w:val="24"/>
              </w:rPr>
              <w:t>评 审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180" w:type="dxa"/>
            <w:vAlign w:val="center"/>
          </w:tcPr>
          <w:p>
            <w:pPr>
              <w:numPr>
                <w:ilvl w:val="0"/>
                <w:numId w:val="9"/>
              </w:numPr>
              <w:tabs>
                <w:tab w:val="left" w:pos="176"/>
                <w:tab w:val="left" w:pos="612"/>
              </w:tabs>
              <w:jc w:val="center"/>
              <w:rPr>
                <w:rFonts w:ascii="宋体" w:hAnsi="宋体" w:cs="宋体"/>
                <w:sz w:val="24"/>
              </w:rPr>
            </w:pPr>
          </w:p>
        </w:tc>
        <w:tc>
          <w:tcPr>
            <w:tcW w:w="8275" w:type="dxa"/>
            <w:vAlign w:val="center"/>
          </w:tcPr>
          <w:p>
            <w:pPr>
              <w:tabs>
                <w:tab w:val="left" w:pos="612"/>
              </w:tabs>
              <w:rPr>
                <w:rFonts w:ascii="宋体" w:hAnsi="宋体" w:cs="宋体"/>
                <w:sz w:val="24"/>
              </w:rPr>
            </w:pPr>
            <w:r>
              <w:rPr>
                <w:rFonts w:hint="eastAsia" w:ascii="宋体" w:hAnsi="宋体"/>
                <w:sz w:val="24"/>
              </w:rPr>
              <w:t>投标人参加投标的意思表达清楚，投标人代表被授权有效。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6" w:hRule="atLeast"/>
        </w:trPr>
        <w:tc>
          <w:tcPr>
            <w:tcW w:w="1180" w:type="dxa"/>
            <w:vAlign w:val="center"/>
          </w:tcPr>
          <w:p>
            <w:pPr>
              <w:numPr>
                <w:ilvl w:val="0"/>
                <w:numId w:val="9"/>
              </w:numPr>
              <w:tabs>
                <w:tab w:val="left" w:pos="176"/>
                <w:tab w:val="left" w:pos="612"/>
              </w:tabs>
              <w:jc w:val="center"/>
              <w:rPr>
                <w:rFonts w:ascii="宋体" w:hAnsi="宋体" w:cs="宋体"/>
                <w:sz w:val="24"/>
              </w:rPr>
            </w:pPr>
          </w:p>
        </w:tc>
        <w:tc>
          <w:tcPr>
            <w:tcW w:w="8275" w:type="dxa"/>
            <w:vAlign w:val="center"/>
          </w:tcPr>
          <w:p>
            <w:pPr>
              <w:tabs>
                <w:tab w:val="left" w:pos="612"/>
              </w:tabs>
              <w:rPr>
                <w:rFonts w:hint="eastAsia" w:ascii="宋体" w:hAnsi="宋体" w:eastAsia="宋体" w:cs="宋体"/>
                <w:sz w:val="24"/>
                <w:lang w:eastAsia="zh-CN"/>
              </w:rPr>
            </w:pPr>
            <w:r>
              <w:rPr>
                <w:rFonts w:hint="eastAsia" w:ascii="宋体" w:hAnsi="宋体"/>
                <w:kern w:val="0"/>
                <w:sz w:val="24"/>
              </w:rPr>
              <w:t>投标人具有独立法人或其授权的分支机构资格，持有工商行政管理部门核发的法人营业执照或事业单位法人证书或社会团体法人登记证书，按国家法律经营。（提供在中华人民共和国境内注册的法人或其他组织的营业执照或事业单位法人证书或社会团体法人登记证书复印件，如投标人为自然人的提供自然人身份证明复印件；依法经国务院批准免予登记的社会组织的，应提供相应文件证明其依法免予登记；如国家另有规定的，则从其规定。如投标人为分支机构，须取得具有法人资格的总公司出具给分支机构的授权书，并提供总公司和分支机构的营业执照（执业许可证）复印件。已由总公司授权的，总公司取得的相关资质证书对分支机构有效，法律法规或者行业另有规定的除外</w:t>
            </w:r>
            <w:r>
              <w:rPr>
                <w:rFonts w:hint="eastAsia" w:ascii="宋体" w:hAnsi="宋体"/>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9" w:hRule="atLeast"/>
        </w:trPr>
        <w:tc>
          <w:tcPr>
            <w:tcW w:w="1180" w:type="dxa"/>
            <w:vAlign w:val="center"/>
          </w:tcPr>
          <w:p>
            <w:pPr>
              <w:numPr>
                <w:ilvl w:val="0"/>
                <w:numId w:val="9"/>
              </w:numPr>
              <w:tabs>
                <w:tab w:val="left" w:pos="176"/>
                <w:tab w:val="left" w:pos="612"/>
              </w:tabs>
              <w:jc w:val="center"/>
              <w:rPr>
                <w:rFonts w:ascii="宋体" w:hAnsi="宋体" w:cs="宋体"/>
                <w:sz w:val="24"/>
              </w:rPr>
            </w:pPr>
          </w:p>
        </w:tc>
        <w:tc>
          <w:tcPr>
            <w:tcW w:w="8275" w:type="dxa"/>
            <w:vAlign w:val="center"/>
          </w:tcPr>
          <w:p>
            <w:pPr>
              <w:tabs>
                <w:tab w:val="left" w:pos="612"/>
              </w:tabs>
              <w:rPr>
                <w:rFonts w:hint="eastAsia" w:ascii="宋体" w:hAnsi="宋体" w:eastAsia="宋体"/>
                <w:sz w:val="24"/>
                <w:u w:val="single"/>
                <w:lang w:eastAsia="zh-CN"/>
              </w:rPr>
            </w:pPr>
            <w:r>
              <w:rPr>
                <w:rFonts w:hint="eastAsia" w:ascii="宋体" w:hAnsi="宋体"/>
                <w:bCs/>
                <w:kern w:val="0"/>
                <w:sz w:val="24"/>
              </w:rPr>
              <w:t>具有</w:t>
            </w:r>
            <w:r>
              <w:rPr>
                <w:rFonts w:hint="eastAsia" w:ascii="宋体" w:hAnsi="宋体" w:eastAsia="宋体" w:cs="Times New Roman"/>
                <w:kern w:val="0"/>
                <w:sz w:val="24"/>
                <w:szCs w:val="24"/>
                <w:lang w:val="en-US" w:eastAsia="zh-CN" w:bidi="ar-SA"/>
              </w:rPr>
              <w:t>良好</w:t>
            </w:r>
            <w:r>
              <w:rPr>
                <w:rFonts w:hint="eastAsia" w:ascii="宋体" w:hAnsi="宋体"/>
                <w:bCs/>
                <w:kern w:val="0"/>
                <w:sz w:val="24"/>
              </w:rPr>
              <w:t>的商业信誉和健全的财务会计制度</w:t>
            </w:r>
            <w:r>
              <w:rPr>
                <w:rFonts w:hint="eastAsia" w:ascii="宋体" w:hAnsi="宋体"/>
                <w:bCs/>
                <w:kern w:val="0"/>
                <w:sz w:val="24"/>
                <w:lang w:eastAsia="zh-CN"/>
              </w:rPr>
              <w:t>，</w:t>
            </w:r>
            <w:r>
              <w:rPr>
                <w:rFonts w:hint="eastAsia" w:ascii="宋体" w:hAnsi="宋体"/>
                <w:bCs/>
                <w:kern w:val="0"/>
                <w:sz w:val="24"/>
              </w:rPr>
              <w:t>有依法缴纳税收和社会保障资金的良好</w:t>
            </w:r>
            <w:r>
              <w:rPr>
                <w:rFonts w:hint="eastAsia" w:ascii="宋体" w:hAnsi="宋体" w:eastAsia="宋体" w:cs="Times New Roman"/>
                <w:kern w:val="0"/>
                <w:sz w:val="24"/>
                <w:szCs w:val="24"/>
                <w:lang w:val="en-US" w:eastAsia="zh-CN" w:bidi="ar-SA"/>
              </w:rPr>
              <w:t>记录</w:t>
            </w:r>
            <w:r>
              <w:rPr>
                <w:rFonts w:hint="eastAsia" w:ascii="宋体" w:hAnsi="宋体"/>
                <w:bCs/>
                <w:kern w:val="0"/>
                <w:sz w:val="24"/>
                <w:lang w:eastAsia="zh-CN"/>
              </w:rPr>
              <w:t>，</w:t>
            </w:r>
            <w:r>
              <w:rPr>
                <w:rFonts w:hint="eastAsia" w:ascii="宋体" w:hAnsi="宋体"/>
                <w:bCs/>
                <w:kern w:val="0"/>
                <w:sz w:val="24"/>
              </w:rPr>
              <w:t>履行合同所必需的设备和专业技术能力</w:t>
            </w:r>
            <w:r>
              <w:rPr>
                <w:rFonts w:hint="eastAsia" w:ascii="宋体" w:hAnsi="宋体"/>
                <w:bCs/>
                <w:kern w:val="0"/>
                <w:sz w:val="24"/>
                <w:lang w:eastAsia="zh-CN"/>
              </w:rPr>
              <w:t>。（</w:t>
            </w:r>
            <w:r>
              <w:rPr>
                <w:rFonts w:hint="eastAsia" w:ascii="宋体" w:hAnsi="宋体"/>
                <w:bCs/>
                <w:kern w:val="0"/>
                <w:sz w:val="24"/>
              </w:rPr>
              <w:t>提供《投标人资格声明函》</w:t>
            </w:r>
            <w:r>
              <w:rPr>
                <w:rFonts w:hint="eastAsia" w:ascii="宋体" w:hAnsi="宋体"/>
                <w:bCs/>
                <w:kern w:val="0"/>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80" w:type="dxa"/>
            <w:vAlign w:val="center"/>
          </w:tcPr>
          <w:p>
            <w:pPr>
              <w:numPr>
                <w:ilvl w:val="0"/>
                <w:numId w:val="9"/>
              </w:numPr>
              <w:tabs>
                <w:tab w:val="left" w:pos="176"/>
                <w:tab w:val="left" w:pos="612"/>
              </w:tabs>
              <w:jc w:val="center"/>
              <w:rPr>
                <w:rFonts w:ascii="宋体" w:hAnsi="宋体" w:cs="宋体"/>
                <w:sz w:val="24"/>
              </w:rPr>
            </w:pPr>
          </w:p>
        </w:tc>
        <w:tc>
          <w:tcPr>
            <w:tcW w:w="8275" w:type="dxa"/>
            <w:vAlign w:val="center"/>
          </w:tcPr>
          <w:p>
            <w:pPr>
              <w:tabs>
                <w:tab w:val="left" w:pos="612"/>
              </w:tabs>
              <w:rPr>
                <w:rFonts w:ascii="宋体" w:hAnsi="宋体" w:cs="宋体"/>
                <w:sz w:val="24"/>
              </w:rPr>
            </w:pPr>
            <w:r>
              <w:rPr>
                <w:rFonts w:hint="eastAsia" w:ascii="宋体" w:hAnsi="宋体"/>
                <w:bCs/>
                <w:kern w:val="0"/>
                <w:sz w:val="24"/>
              </w:rPr>
              <w:t>参加采购活动前3年内，在经营活动中没有重大违法记录</w:t>
            </w:r>
            <w:r>
              <w:rPr>
                <w:rFonts w:hint="eastAsia" w:ascii="宋体" w:hAnsi="宋体"/>
                <w:bCs/>
                <w:kern w:val="0"/>
                <w:sz w:val="24"/>
                <w:lang w:eastAsia="zh-CN"/>
              </w:rPr>
              <w:t>（</w:t>
            </w:r>
            <w:r>
              <w:rPr>
                <w:rFonts w:hint="eastAsia" w:ascii="宋体" w:hAnsi="宋体"/>
                <w:bCs/>
                <w:kern w:val="0"/>
                <w:sz w:val="24"/>
              </w:rPr>
              <w:t>提供《投标人资格声明函》</w:t>
            </w:r>
            <w:r>
              <w:rPr>
                <w:rFonts w:hint="eastAsia" w:ascii="宋体" w:hAnsi="宋体"/>
                <w:bCs/>
                <w:kern w:val="0"/>
                <w:sz w:val="24"/>
                <w:lang w:eastAsia="zh-CN"/>
              </w:rPr>
              <w:t>）</w:t>
            </w:r>
            <w:r>
              <w:rPr>
                <w:rFonts w:hint="eastAsia" w:ascii="宋体" w:hAnsi="宋体"/>
                <w:bCs/>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80" w:type="dxa"/>
            <w:vAlign w:val="center"/>
          </w:tcPr>
          <w:p>
            <w:pPr>
              <w:numPr>
                <w:ilvl w:val="0"/>
                <w:numId w:val="9"/>
              </w:numPr>
              <w:tabs>
                <w:tab w:val="left" w:pos="176"/>
                <w:tab w:val="left" w:pos="612"/>
              </w:tabs>
              <w:jc w:val="center"/>
              <w:rPr>
                <w:rFonts w:ascii="宋体" w:hAnsi="宋体" w:cs="宋体"/>
                <w:sz w:val="24"/>
              </w:rPr>
            </w:pPr>
          </w:p>
        </w:tc>
        <w:tc>
          <w:tcPr>
            <w:tcW w:w="8275" w:type="dxa"/>
            <w:vAlign w:val="center"/>
          </w:tcPr>
          <w:p>
            <w:pPr>
              <w:tabs>
                <w:tab w:val="left" w:pos="612"/>
              </w:tabs>
              <w:rPr>
                <w:rFonts w:hint="eastAsia" w:ascii="宋体" w:hAnsi="宋体"/>
                <w:bCs/>
                <w:kern w:val="0"/>
                <w:sz w:val="24"/>
              </w:rPr>
            </w:pPr>
            <w:r>
              <w:rPr>
                <w:rFonts w:hint="eastAsia" w:ascii="宋体" w:hAnsi="宋体"/>
                <w:kern w:val="0"/>
                <w:sz w:val="24"/>
              </w:rPr>
              <w:t>单位</w:t>
            </w:r>
            <w:r>
              <w:rPr>
                <w:rFonts w:hint="eastAsia" w:ascii="宋体" w:hAnsi="宋体"/>
                <w:bCs/>
                <w:kern w:val="0"/>
                <w:sz w:val="24"/>
              </w:rPr>
              <w:t>负责人为同一人或者存在直接控股、管理关系的不同投标人，不得参加同一合同项下的采购活动（提供《投标人资格声明函》）。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80" w:type="dxa"/>
            <w:vAlign w:val="center"/>
          </w:tcPr>
          <w:p>
            <w:pPr>
              <w:numPr>
                <w:ilvl w:val="0"/>
                <w:numId w:val="9"/>
              </w:numPr>
              <w:tabs>
                <w:tab w:val="left" w:pos="176"/>
                <w:tab w:val="left" w:pos="612"/>
              </w:tabs>
              <w:jc w:val="center"/>
              <w:rPr>
                <w:rFonts w:ascii="宋体" w:hAnsi="宋体" w:cs="宋体"/>
                <w:sz w:val="24"/>
              </w:rPr>
            </w:pPr>
          </w:p>
        </w:tc>
        <w:tc>
          <w:tcPr>
            <w:tcW w:w="8275" w:type="dxa"/>
            <w:vAlign w:val="center"/>
          </w:tcPr>
          <w:p>
            <w:pPr>
              <w:tabs>
                <w:tab w:val="left" w:pos="612"/>
              </w:tabs>
              <w:rPr>
                <w:rFonts w:hint="eastAsia" w:ascii="宋体" w:hAnsi="宋体"/>
                <w:bCs/>
                <w:kern w:val="0"/>
                <w:sz w:val="24"/>
              </w:rPr>
            </w:pPr>
            <w:r>
              <w:rPr>
                <w:rFonts w:hint="eastAsia" w:ascii="宋体" w:hAnsi="宋体"/>
                <w:kern w:val="0"/>
                <w:sz w:val="24"/>
              </w:rPr>
              <w:t>投标人未被列入“信用中国”网站（www.creditchina.gov.cn）“记录失信被执行人或重大税收违法案件当事人名单”记录名单（①以评标委员会于开标当天资格审查时在以上网站的查询结果为准，如在上述网站查询结果均显示没有相关记录，视为没有上述不良信用记录；②若评标委员会在以上网站查询不到该投标人相关记录的，以投标人出具的承诺函为准，并视为没有上述不良信用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80" w:type="dxa"/>
            <w:vAlign w:val="center"/>
          </w:tcPr>
          <w:p>
            <w:pPr>
              <w:numPr>
                <w:ilvl w:val="0"/>
                <w:numId w:val="9"/>
              </w:numPr>
              <w:tabs>
                <w:tab w:val="left" w:pos="176"/>
                <w:tab w:val="left" w:pos="612"/>
              </w:tabs>
              <w:jc w:val="center"/>
              <w:rPr>
                <w:rFonts w:ascii="宋体" w:hAnsi="宋体" w:cs="宋体"/>
                <w:sz w:val="24"/>
              </w:rPr>
            </w:pPr>
          </w:p>
        </w:tc>
        <w:tc>
          <w:tcPr>
            <w:tcW w:w="8275" w:type="dxa"/>
            <w:vAlign w:val="center"/>
          </w:tcPr>
          <w:p>
            <w:pPr>
              <w:tabs>
                <w:tab w:val="left" w:pos="612"/>
              </w:tabs>
              <w:rPr>
                <w:rFonts w:hint="eastAsia" w:ascii="宋体" w:hAnsi="宋体"/>
                <w:bCs/>
                <w:kern w:val="0"/>
                <w:sz w:val="24"/>
              </w:rPr>
            </w:pPr>
            <w:r>
              <w:rPr>
                <w:rFonts w:hint="eastAsia" w:ascii="宋体" w:hAnsi="宋体"/>
                <w:bCs/>
                <w:kern w:val="0"/>
                <w:sz w:val="24"/>
              </w:rPr>
              <w:t>未进行投标登记的投标人，不得参加本项目的采购活动。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67" w:hRule="atLeast"/>
        </w:trPr>
        <w:tc>
          <w:tcPr>
            <w:tcW w:w="1180" w:type="dxa"/>
            <w:vAlign w:val="center"/>
          </w:tcPr>
          <w:p>
            <w:pPr>
              <w:numPr>
                <w:ilvl w:val="0"/>
                <w:numId w:val="9"/>
              </w:numPr>
              <w:tabs>
                <w:tab w:val="left" w:pos="176"/>
                <w:tab w:val="left" w:pos="612"/>
              </w:tabs>
              <w:jc w:val="center"/>
              <w:rPr>
                <w:rFonts w:ascii="宋体" w:hAnsi="宋体" w:cs="宋体"/>
                <w:sz w:val="24"/>
              </w:rPr>
            </w:pPr>
          </w:p>
        </w:tc>
        <w:tc>
          <w:tcPr>
            <w:tcW w:w="8275" w:type="dxa"/>
            <w:vAlign w:val="center"/>
          </w:tcPr>
          <w:p>
            <w:pPr>
              <w:tabs>
                <w:tab w:val="left" w:pos="612"/>
              </w:tabs>
              <w:rPr>
                <w:rFonts w:hint="eastAsia" w:ascii="宋体" w:hAnsi="宋体"/>
                <w:bCs/>
                <w:kern w:val="0"/>
                <w:sz w:val="24"/>
              </w:rPr>
            </w:pPr>
            <w:r>
              <w:rPr>
                <w:rFonts w:hint="eastAsia" w:ascii="宋体" w:hAnsi="宋体"/>
                <w:kern w:val="0"/>
                <w:sz w:val="24"/>
                <w:lang w:val="en-US" w:eastAsia="zh-CN"/>
              </w:rPr>
              <w:t>投标人未在以往投标中因不诚信行为或不充分履约行为被本项目招标人书面拒绝投标的；（详见采购公告附件一《被本项目招标人书面拒绝投标的企业名单》）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80" w:type="dxa"/>
            <w:vAlign w:val="center"/>
          </w:tcPr>
          <w:p>
            <w:pPr>
              <w:numPr>
                <w:ilvl w:val="0"/>
                <w:numId w:val="9"/>
              </w:numPr>
              <w:tabs>
                <w:tab w:val="left" w:pos="176"/>
                <w:tab w:val="left" w:pos="612"/>
              </w:tabs>
              <w:jc w:val="center"/>
              <w:rPr>
                <w:rFonts w:ascii="宋体" w:hAnsi="宋体" w:cs="宋体"/>
                <w:sz w:val="24"/>
              </w:rPr>
            </w:pPr>
          </w:p>
        </w:tc>
        <w:tc>
          <w:tcPr>
            <w:tcW w:w="8275" w:type="dxa"/>
            <w:vAlign w:val="center"/>
          </w:tcPr>
          <w:p>
            <w:pPr>
              <w:tabs>
                <w:tab w:val="left" w:pos="612"/>
              </w:tabs>
              <w:rPr>
                <w:rFonts w:hint="eastAsia" w:ascii="宋体" w:hAnsi="宋体"/>
                <w:kern w:val="0"/>
                <w:sz w:val="24"/>
                <w:lang w:val="en-US" w:eastAsia="zh-CN"/>
              </w:rPr>
            </w:pPr>
            <w:r>
              <w:rPr>
                <w:rFonts w:hint="eastAsia" w:ascii="宋体" w:hAnsi="宋体"/>
                <w:sz w:val="24"/>
                <w:szCs w:val="24"/>
              </w:rPr>
              <w:t>本项目</w:t>
            </w:r>
            <w:r>
              <w:rPr>
                <w:rFonts w:hint="eastAsia" w:ascii="宋体" w:hAnsi="宋体"/>
                <w:sz w:val="24"/>
                <w:szCs w:val="24"/>
                <w:u w:val="single"/>
              </w:rPr>
              <w:t>不接受</w:t>
            </w:r>
            <w:r>
              <w:rPr>
                <w:rFonts w:hint="eastAsia" w:ascii="宋体" w:hAnsi="宋体"/>
                <w:sz w:val="24"/>
                <w:szCs w:val="24"/>
              </w:rPr>
              <w:t>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180" w:type="dxa"/>
            <w:vAlign w:val="center"/>
          </w:tcPr>
          <w:p>
            <w:pPr>
              <w:numPr>
                <w:ilvl w:val="0"/>
                <w:numId w:val="9"/>
              </w:numPr>
              <w:tabs>
                <w:tab w:val="left" w:pos="176"/>
                <w:tab w:val="left" w:pos="612"/>
              </w:tabs>
              <w:jc w:val="center"/>
              <w:rPr>
                <w:rFonts w:ascii="宋体" w:hAnsi="宋体" w:cs="宋体"/>
                <w:sz w:val="24"/>
              </w:rPr>
            </w:pPr>
          </w:p>
        </w:tc>
        <w:tc>
          <w:tcPr>
            <w:tcW w:w="8275" w:type="dxa"/>
            <w:vAlign w:val="center"/>
          </w:tcPr>
          <w:p>
            <w:pPr>
              <w:tabs>
                <w:tab w:val="left" w:pos="612"/>
              </w:tabs>
              <w:rPr>
                <w:rFonts w:hint="eastAsia" w:ascii="宋体" w:hAnsi="宋体"/>
                <w:bCs/>
                <w:kern w:val="0"/>
                <w:sz w:val="24"/>
              </w:rPr>
            </w:pPr>
            <w:r>
              <w:rPr>
                <w:rFonts w:hint="eastAsia" w:ascii="宋体" w:hAnsi="宋体"/>
                <w:kern w:val="0"/>
                <w:sz w:val="24"/>
                <w:lang w:val="en-US" w:eastAsia="zh-CN"/>
              </w:rPr>
              <w:t>法律</w:t>
            </w:r>
            <w:r>
              <w:rPr>
                <w:rFonts w:hint="eastAsia" w:ascii="宋体" w:hAnsi="宋体" w:eastAsia="宋体" w:cs="Times New Roman"/>
                <w:kern w:val="0"/>
                <w:sz w:val="24"/>
                <w:szCs w:val="24"/>
                <w:lang w:val="en-US" w:eastAsia="zh-CN" w:bidi="ar-SA"/>
              </w:rPr>
              <w:t>、法规规定的其他要求</w:t>
            </w:r>
            <w:r>
              <w:rPr>
                <w:rFonts w:hint="eastAsia" w:ascii="宋体" w:hAnsi="宋体"/>
                <w:bCs/>
                <w:kern w:val="0"/>
                <w:sz w:val="24"/>
              </w:rPr>
              <w:t>（提供《投标人资格声明函》）</w:t>
            </w:r>
          </w:p>
        </w:tc>
      </w:tr>
    </w:tbl>
    <w:p>
      <w:pPr>
        <w:rPr>
          <w:rFonts w:hint="eastAsia" w:ascii="黑体" w:hAnsi="宋体" w:eastAsia="黑体" w:cs="宋体"/>
          <w:sz w:val="28"/>
          <w:szCs w:val="28"/>
        </w:rPr>
      </w:pPr>
      <w:r>
        <w:rPr>
          <w:rFonts w:hint="eastAsia" w:ascii="黑体" w:hAnsi="宋体" w:eastAsia="黑体" w:cs="宋体"/>
          <w:sz w:val="28"/>
          <w:szCs w:val="28"/>
        </w:rPr>
        <w:br w:type="page"/>
      </w:r>
    </w:p>
    <w:p>
      <w:pPr>
        <w:adjustRightInd w:val="0"/>
        <w:snapToGrid w:val="0"/>
        <w:spacing w:before="156" w:beforeLines="50" w:line="360" w:lineRule="auto"/>
        <w:jc w:val="center"/>
        <w:outlineLvl w:val="3"/>
        <w:rPr>
          <w:rFonts w:ascii="黑体" w:hAnsi="宋体" w:eastAsia="黑体" w:cs="宋体"/>
          <w:sz w:val="28"/>
          <w:szCs w:val="28"/>
        </w:rPr>
      </w:pPr>
      <w:r>
        <w:rPr>
          <w:rFonts w:hint="eastAsia" w:ascii="黑体" w:hAnsi="宋体" w:eastAsia="黑体" w:cs="宋体"/>
          <w:sz w:val="28"/>
          <w:szCs w:val="28"/>
        </w:rPr>
        <w:t>符合性审查表</w:t>
      </w:r>
    </w:p>
    <w:tbl>
      <w:tblPr>
        <w:tblStyle w:val="55"/>
        <w:tblW w:w="94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0"/>
        <w:gridCol w:w="2414"/>
        <w:gridCol w:w="5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1180" w:type="dxa"/>
            <w:vAlign w:val="center"/>
          </w:tcPr>
          <w:p>
            <w:pPr>
              <w:jc w:val="center"/>
              <w:rPr>
                <w:rFonts w:ascii="宋体" w:cs="宋体"/>
                <w:b/>
                <w:sz w:val="24"/>
              </w:rPr>
            </w:pPr>
            <w:r>
              <w:rPr>
                <w:rFonts w:hint="eastAsia" w:ascii="宋体" w:cs="宋体"/>
                <w:b/>
                <w:sz w:val="24"/>
              </w:rPr>
              <w:t>序号</w:t>
            </w:r>
          </w:p>
        </w:tc>
        <w:tc>
          <w:tcPr>
            <w:tcW w:w="8254" w:type="dxa"/>
            <w:gridSpan w:val="2"/>
            <w:vAlign w:val="center"/>
          </w:tcPr>
          <w:p>
            <w:pPr>
              <w:jc w:val="center"/>
              <w:rPr>
                <w:rFonts w:ascii="宋体" w:cs="宋体"/>
                <w:b/>
                <w:sz w:val="24"/>
              </w:rPr>
            </w:pPr>
            <w:r>
              <w:rPr>
                <w:rFonts w:hint="eastAsia" w:ascii="宋体" w:hAnsi="宋体" w:cs="宋体"/>
                <w:b/>
                <w:sz w:val="24"/>
              </w:rPr>
              <w:t>评 审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6" w:hRule="atLeast"/>
        </w:trPr>
        <w:tc>
          <w:tcPr>
            <w:tcW w:w="1180" w:type="dxa"/>
            <w:vAlign w:val="center"/>
          </w:tcPr>
          <w:p>
            <w:pPr>
              <w:numPr>
                <w:ilvl w:val="0"/>
                <w:numId w:val="10"/>
              </w:numPr>
              <w:tabs>
                <w:tab w:val="left" w:pos="176"/>
                <w:tab w:val="left" w:pos="612"/>
              </w:tabs>
              <w:jc w:val="center"/>
              <w:rPr>
                <w:rFonts w:ascii="宋体" w:hAnsi="宋体" w:cs="宋体"/>
                <w:sz w:val="24"/>
              </w:rPr>
            </w:pPr>
          </w:p>
        </w:tc>
        <w:tc>
          <w:tcPr>
            <w:tcW w:w="2414" w:type="dxa"/>
            <w:vAlign w:val="center"/>
          </w:tcPr>
          <w:p>
            <w:pPr>
              <w:tabs>
                <w:tab w:val="left" w:pos="612"/>
              </w:tabs>
              <w:rPr>
                <w:rFonts w:ascii="宋体" w:hAnsi="宋体" w:cs="宋体"/>
                <w:sz w:val="24"/>
              </w:rPr>
            </w:pPr>
            <w:r>
              <w:rPr>
                <w:rFonts w:hint="eastAsia" w:ascii="宋体" w:hAnsi="宋体" w:cs="宋体"/>
                <w:sz w:val="24"/>
              </w:rPr>
              <w:t>签署、盖章要求</w:t>
            </w:r>
          </w:p>
        </w:tc>
        <w:tc>
          <w:tcPr>
            <w:tcW w:w="5840" w:type="dxa"/>
            <w:vAlign w:val="center"/>
          </w:tcPr>
          <w:p>
            <w:pPr>
              <w:tabs>
                <w:tab w:val="left" w:pos="612"/>
              </w:tabs>
              <w:rPr>
                <w:rFonts w:ascii="宋体" w:hAnsi="宋体" w:cs="宋体"/>
                <w:sz w:val="24"/>
              </w:rPr>
            </w:pPr>
            <w:r>
              <w:rPr>
                <w:rFonts w:hint="eastAsia" w:ascii="宋体" w:hAnsi="宋体" w:cs="宋体"/>
                <w:sz w:val="24"/>
              </w:rPr>
              <w:t>投标文件按照招标文件规定要求签署、盖章且投标文件有法定代表人或授权代表签字或盖章；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5" w:hRule="atLeast"/>
        </w:trPr>
        <w:tc>
          <w:tcPr>
            <w:tcW w:w="1180" w:type="dxa"/>
            <w:vAlign w:val="center"/>
          </w:tcPr>
          <w:p>
            <w:pPr>
              <w:numPr>
                <w:ilvl w:val="0"/>
                <w:numId w:val="10"/>
              </w:numPr>
              <w:tabs>
                <w:tab w:val="left" w:pos="176"/>
                <w:tab w:val="left" w:pos="612"/>
              </w:tabs>
              <w:jc w:val="center"/>
              <w:rPr>
                <w:rFonts w:ascii="宋体" w:hAnsi="宋体" w:cs="宋体"/>
                <w:sz w:val="24"/>
              </w:rPr>
            </w:pPr>
          </w:p>
        </w:tc>
        <w:tc>
          <w:tcPr>
            <w:tcW w:w="2414" w:type="dxa"/>
            <w:vAlign w:val="center"/>
          </w:tcPr>
          <w:p>
            <w:pPr>
              <w:tabs>
                <w:tab w:val="left" w:pos="612"/>
              </w:tabs>
              <w:rPr>
                <w:rFonts w:ascii="宋体" w:hAnsi="宋体" w:cs="宋体"/>
                <w:sz w:val="24"/>
              </w:rPr>
            </w:pPr>
            <w:r>
              <w:rPr>
                <w:rFonts w:hint="eastAsia" w:ascii="宋体" w:hAnsi="宋体" w:cs="宋体"/>
                <w:sz w:val="24"/>
              </w:rPr>
              <w:t>法定代表人证明书、法定代表人授权委托书</w:t>
            </w:r>
          </w:p>
        </w:tc>
        <w:tc>
          <w:tcPr>
            <w:tcW w:w="5840" w:type="dxa"/>
            <w:vAlign w:val="center"/>
          </w:tcPr>
          <w:p>
            <w:pPr>
              <w:tabs>
                <w:tab w:val="left" w:pos="612"/>
              </w:tabs>
              <w:rPr>
                <w:rFonts w:ascii="宋体" w:hAnsi="宋体" w:cs="宋体"/>
                <w:sz w:val="24"/>
              </w:rPr>
            </w:pPr>
            <w:r>
              <w:rPr>
                <w:rFonts w:hint="eastAsia" w:ascii="宋体" w:hAnsi="宋体" w:cs="宋体"/>
                <w:sz w:val="24"/>
              </w:rPr>
              <w:t>按招标文件要求提供法定代表人证明书，投标文件由授权代表签署的，还需授权代表签字人签署的须提供法定代表人授权委托书；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2" w:hRule="atLeast"/>
        </w:trPr>
        <w:tc>
          <w:tcPr>
            <w:tcW w:w="1180" w:type="dxa"/>
            <w:vAlign w:val="center"/>
          </w:tcPr>
          <w:p>
            <w:pPr>
              <w:numPr>
                <w:ilvl w:val="0"/>
                <w:numId w:val="10"/>
              </w:numPr>
              <w:tabs>
                <w:tab w:val="left" w:pos="176"/>
                <w:tab w:val="left" w:pos="612"/>
              </w:tabs>
              <w:jc w:val="center"/>
              <w:rPr>
                <w:rFonts w:ascii="宋体" w:hAnsi="宋体" w:cs="宋体"/>
                <w:sz w:val="24"/>
              </w:rPr>
            </w:pPr>
          </w:p>
        </w:tc>
        <w:tc>
          <w:tcPr>
            <w:tcW w:w="2414" w:type="dxa"/>
            <w:vAlign w:val="center"/>
          </w:tcPr>
          <w:p>
            <w:pPr>
              <w:tabs>
                <w:tab w:val="left" w:pos="612"/>
              </w:tabs>
              <w:rPr>
                <w:rFonts w:ascii="宋体" w:hAnsi="宋体" w:cs="宋体"/>
                <w:sz w:val="24"/>
              </w:rPr>
            </w:pPr>
            <w:r>
              <w:rPr>
                <w:rFonts w:hint="eastAsia" w:ascii="宋体" w:hAnsi="宋体" w:cs="宋体"/>
                <w:sz w:val="24"/>
              </w:rPr>
              <w:t>投标函</w:t>
            </w:r>
          </w:p>
        </w:tc>
        <w:tc>
          <w:tcPr>
            <w:tcW w:w="5840" w:type="dxa"/>
            <w:vAlign w:val="center"/>
          </w:tcPr>
          <w:p>
            <w:pPr>
              <w:tabs>
                <w:tab w:val="left" w:pos="612"/>
              </w:tabs>
              <w:rPr>
                <w:rFonts w:ascii="宋体" w:hAnsi="宋体" w:cs="宋体"/>
                <w:sz w:val="24"/>
              </w:rPr>
            </w:pPr>
            <w:r>
              <w:rPr>
                <w:rFonts w:hint="eastAsia" w:ascii="宋体" w:hAnsi="宋体" w:cs="宋体"/>
                <w:sz w:val="24"/>
              </w:rPr>
              <w:t>投标函已提交并符合招标文件要求的，且</w:t>
            </w:r>
            <w:r>
              <w:rPr>
                <w:rFonts w:hint="eastAsia" w:ascii="宋体" w:hAnsi="宋体"/>
                <w:sz w:val="24"/>
              </w:rPr>
              <w:t>投标有效期不少于招标文件中载明的投标有效期；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1180" w:type="dxa"/>
            <w:vAlign w:val="center"/>
          </w:tcPr>
          <w:p>
            <w:pPr>
              <w:numPr>
                <w:ilvl w:val="0"/>
                <w:numId w:val="10"/>
              </w:numPr>
              <w:tabs>
                <w:tab w:val="left" w:pos="176"/>
                <w:tab w:val="left" w:pos="612"/>
              </w:tabs>
              <w:jc w:val="center"/>
              <w:rPr>
                <w:rFonts w:ascii="宋体" w:hAnsi="宋体" w:cs="宋体"/>
                <w:sz w:val="24"/>
              </w:rPr>
            </w:pPr>
          </w:p>
        </w:tc>
        <w:tc>
          <w:tcPr>
            <w:tcW w:w="2414" w:type="dxa"/>
            <w:vAlign w:val="center"/>
          </w:tcPr>
          <w:p>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tc>
        <w:tc>
          <w:tcPr>
            <w:tcW w:w="5840" w:type="dxa"/>
            <w:vAlign w:val="center"/>
          </w:tcPr>
          <w:p>
            <w:pPr>
              <w:rPr>
                <w:rFonts w:cs="宋体" w:asciiTheme="minorEastAsia" w:hAnsiTheme="minorEastAsia" w:eastAsiaTheme="minorEastAsia"/>
                <w:sz w:val="24"/>
              </w:rPr>
            </w:pPr>
            <w:r>
              <w:rPr>
                <w:rFonts w:hint="eastAsia" w:cs="宋体" w:asciiTheme="minorEastAsia" w:hAnsiTheme="minorEastAsia" w:eastAsiaTheme="minorEastAsia"/>
                <w:sz w:val="24"/>
              </w:rPr>
              <w:t>投标文件未出现选择性报价或有附加条件报价的情形，且投标报价确定和未超过采购内容的最高投标限价或超过每月单价限价或不符合相应投标下浮率报价要求的；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3" w:hRule="atLeast"/>
        </w:trPr>
        <w:tc>
          <w:tcPr>
            <w:tcW w:w="1180" w:type="dxa"/>
            <w:vAlign w:val="center"/>
          </w:tcPr>
          <w:p>
            <w:pPr>
              <w:numPr>
                <w:ilvl w:val="0"/>
                <w:numId w:val="10"/>
              </w:numPr>
              <w:tabs>
                <w:tab w:val="left" w:pos="176"/>
                <w:tab w:val="left" w:pos="612"/>
              </w:tabs>
              <w:jc w:val="center"/>
              <w:rPr>
                <w:rFonts w:ascii="宋体" w:hAnsi="宋体" w:cs="宋体"/>
                <w:sz w:val="24"/>
              </w:rPr>
            </w:pPr>
          </w:p>
        </w:tc>
        <w:tc>
          <w:tcPr>
            <w:tcW w:w="2414" w:type="dxa"/>
            <w:vAlign w:val="center"/>
          </w:tcPr>
          <w:p>
            <w:pPr>
              <w:rPr>
                <w:rFonts w:ascii="宋体" w:hAnsi="宋体" w:cs="宋体"/>
                <w:sz w:val="24"/>
              </w:rPr>
            </w:pPr>
            <w:r>
              <w:rPr>
                <w:rFonts w:hint="eastAsia" w:ascii="宋体" w:hAnsi="宋体" w:cs="宋体"/>
                <w:sz w:val="24"/>
              </w:rPr>
              <w:t>其他无效投标情形</w:t>
            </w:r>
          </w:p>
        </w:tc>
        <w:tc>
          <w:tcPr>
            <w:tcW w:w="5840" w:type="dxa"/>
            <w:vAlign w:val="center"/>
          </w:tcPr>
          <w:p>
            <w:pPr>
              <w:rPr>
                <w:rFonts w:ascii="宋体" w:hAnsi="宋体" w:cs="宋体"/>
                <w:sz w:val="24"/>
              </w:rPr>
            </w:pPr>
            <w:r>
              <w:rPr>
                <w:rFonts w:ascii="宋体" w:hAnsi="宋体" w:cs="宋体"/>
                <w:sz w:val="24"/>
              </w:rPr>
              <w:t>未发现属无效</w:t>
            </w:r>
            <w:r>
              <w:rPr>
                <w:rFonts w:hint="eastAsia" w:ascii="宋体" w:hAnsi="宋体" w:cs="宋体"/>
                <w:sz w:val="24"/>
              </w:rPr>
              <w:t>投标</w:t>
            </w:r>
            <w:r>
              <w:rPr>
                <w:rFonts w:ascii="宋体" w:hAnsi="宋体" w:cs="宋体"/>
                <w:sz w:val="24"/>
              </w:rPr>
              <w:t>的其他情形。以下为属无效</w:t>
            </w:r>
            <w:r>
              <w:rPr>
                <w:rFonts w:hint="eastAsia" w:ascii="宋体" w:hAnsi="宋体" w:cs="宋体"/>
                <w:sz w:val="24"/>
              </w:rPr>
              <w:t>投标</w:t>
            </w:r>
            <w:r>
              <w:rPr>
                <w:rFonts w:ascii="宋体" w:hAnsi="宋体" w:cs="宋体"/>
                <w:sz w:val="24"/>
              </w:rPr>
              <w:t>的其他情形：</w:t>
            </w:r>
          </w:p>
          <w:p>
            <w:pPr>
              <w:rPr>
                <w:rFonts w:ascii="宋体" w:hAnsi="宋体" w:cs="宋体"/>
                <w:sz w:val="24"/>
              </w:rPr>
            </w:pPr>
            <w:r>
              <w:rPr>
                <w:rFonts w:ascii="宋体" w:hAnsi="宋体" w:cs="宋体"/>
                <w:sz w:val="24"/>
              </w:rPr>
              <w:t>（</w:t>
            </w:r>
            <w:r>
              <w:rPr>
                <w:rFonts w:hint="eastAsia" w:ascii="宋体" w:hAnsi="宋体" w:cs="宋体"/>
                <w:sz w:val="24"/>
              </w:rPr>
              <w:t>1</w:t>
            </w:r>
            <w:r>
              <w:rPr>
                <w:rFonts w:ascii="宋体" w:hAnsi="宋体" w:cs="宋体"/>
                <w:sz w:val="24"/>
              </w:rPr>
              <w:t>）评审期间，</w:t>
            </w:r>
            <w:r>
              <w:rPr>
                <w:rFonts w:hint="eastAsia" w:ascii="宋体" w:hAnsi="宋体" w:cs="宋体"/>
                <w:sz w:val="24"/>
              </w:rPr>
              <w:t>投标人</w:t>
            </w:r>
            <w:r>
              <w:rPr>
                <w:rFonts w:ascii="宋体" w:hAnsi="宋体" w:cs="宋体"/>
                <w:sz w:val="24"/>
              </w:rPr>
              <w:t>没有按</w:t>
            </w:r>
            <w:r>
              <w:rPr>
                <w:rFonts w:hint="eastAsia" w:ascii="宋体" w:hAnsi="宋体" w:cs="宋体"/>
                <w:sz w:val="24"/>
              </w:rPr>
              <w:t>评标委员会</w:t>
            </w:r>
            <w:r>
              <w:rPr>
                <w:rFonts w:ascii="宋体" w:hAnsi="宋体" w:cs="宋体"/>
                <w:sz w:val="24"/>
              </w:rPr>
              <w:t>的要求提交法定代表人或其委托代理人签字的澄清、说明、补正或改变了</w:t>
            </w:r>
            <w:r>
              <w:rPr>
                <w:rFonts w:hint="eastAsia" w:ascii="宋体" w:hAnsi="宋体" w:cs="宋体"/>
                <w:sz w:val="24"/>
              </w:rPr>
              <w:t>投标文件</w:t>
            </w:r>
            <w:r>
              <w:rPr>
                <w:rFonts w:ascii="宋体" w:hAnsi="宋体" w:cs="宋体"/>
                <w:sz w:val="24"/>
              </w:rPr>
              <w:t xml:space="preserve">的实质性内容的。 </w:t>
            </w:r>
          </w:p>
          <w:p>
            <w:pPr>
              <w:rPr>
                <w:rFonts w:ascii="宋体" w:hAnsi="宋体" w:cs="宋体"/>
                <w:sz w:val="24"/>
              </w:rPr>
            </w:pPr>
            <w:r>
              <w:rPr>
                <w:rFonts w:ascii="宋体" w:hAnsi="宋体" w:cs="宋体"/>
                <w:sz w:val="24"/>
              </w:rPr>
              <w:t>（</w:t>
            </w:r>
            <w:r>
              <w:rPr>
                <w:rFonts w:hint="eastAsia" w:ascii="宋体" w:hAnsi="宋体" w:cs="宋体"/>
                <w:sz w:val="24"/>
              </w:rPr>
              <w:t>2</w:t>
            </w:r>
            <w:r>
              <w:rPr>
                <w:rFonts w:ascii="宋体" w:hAnsi="宋体" w:cs="宋体"/>
                <w:sz w:val="24"/>
              </w:rPr>
              <w:t>）</w:t>
            </w:r>
            <w:r>
              <w:rPr>
                <w:rFonts w:hint="eastAsia" w:ascii="宋体" w:hAnsi="宋体" w:cs="宋体"/>
                <w:sz w:val="24"/>
              </w:rPr>
              <w:t>投标</w:t>
            </w:r>
            <w:r>
              <w:rPr>
                <w:rFonts w:ascii="宋体" w:hAnsi="宋体" w:cs="宋体"/>
                <w:sz w:val="24"/>
              </w:rPr>
              <w:t xml:space="preserve">文件提供虚假材料的。 </w:t>
            </w:r>
          </w:p>
          <w:p>
            <w:pPr>
              <w:rPr>
                <w:rFonts w:ascii="宋体" w:hAnsi="宋体" w:cs="宋体"/>
                <w:sz w:val="24"/>
              </w:rPr>
            </w:pPr>
            <w:r>
              <w:rPr>
                <w:rFonts w:ascii="宋体" w:hAnsi="宋体" w:cs="宋体"/>
                <w:sz w:val="24"/>
              </w:rPr>
              <w:t>（</w:t>
            </w:r>
            <w:r>
              <w:rPr>
                <w:rFonts w:hint="eastAsia" w:ascii="宋体" w:hAnsi="宋体" w:cs="宋体"/>
                <w:sz w:val="24"/>
              </w:rPr>
              <w:t>3</w:t>
            </w:r>
            <w:r>
              <w:rPr>
                <w:rFonts w:ascii="宋体" w:hAnsi="宋体" w:cs="宋体"/>
                <w:sz w:val="24"/>
              </w:rPr>
              <w:t>）</w:t>
            </w:r>
            <w:r>
              <w:rPr>
                <w:rFonts w:hint="eastAsia" w:ascii="宋体" w:hAnsi="宋体" w:cs="宋体"/>
                <w:sz w:val="24"/>
              </w:rPr>
              <w:t>投标人</w:t>
            </w:r>
            <w:r>
              <w:rPr>
                <w:rFonts w:ascii="宋体" w:hAnsi="宋体" w:cs="宋体"/>
                <w:sz w:val="24"/>
              </w:rPr>
              <w:t>以他人的名义</w:t>
            </w:r>
            <w:r>
              <w:rPr>
                <w:rFonts w:hint="eastAsia" w:ascii="宋体" w:hAnsi="宋体" w:cs="宋体"/>
                <w:sz w:val="24"/>
              </w:rPr>
              <w:t>投标</w:t>
            </w:r>
            <w:r>
              <w:rPr>
                <w:rFonts w:ascii="宋体" w:hAnsi="宋体" w:cs="宋体"/>
                <w:sz w:val="24"/>
              </w:rPr>
              <w:t>、串通</w:t>
            </w:r>
            <w:r>
              <w:rPr>
                <w:rFonts w:hint="eastAsia" w:ascii="宋体" w:hAnsi="宋体" w:cs="宋体"/>
                <w:sz w:val="24"/>
              </w:rPr>
              <w:t>投标</w:t>
            </w:r>
            <w:r>
              <w:rPr>
                <w:rFonts w:ascii="宋体" w:hAnsi="宋体" w:cs="宋体"/>
                <w:sz w:val="24"/>
              </w:rPr>
              <w:t>、以行贿手段谋取</w:t>
            </w:r>
            <w:r>
              <w:rPr>
                <w:rFonts w:hint="eastAsia" w:ascii="宋体" w:hAnsi="宋体" w:cs="宋体"/>
                <w:sz w:val="24"/>
              </w:rPr>
              <w:t>中标</w:t>
            </w:r>
            <w:r>
              <w:rPr>
                <w:rFonts w:ascii="宋体" w:hAnsi="宋体" w:cs="宋体"/>
                <w:sz w:val="24"/>
              </w:rPr>
              <w:t>或者以其他弄虚作假方式</w:t>
            </w:r>
            <w:r>
              <w:rPr>
                <w:rFonts w:hint="eastAsia" w:ascii="宋体" w:hAnsi="宋体" w:cs="宋体"/>
                <w:sz w:val="24"/>
              </w:rPr>
              <w:t>投标</w:t>
            </w:r>
            <w:r>
              <w:rPr>
                <w:rFonts w:ascii="宋体" w:hAnsi="宋体" w:cs="宋体"/>
                <w:sz w:val="24"/>
              </w:rPr>
              <w:t xml:space="preserve">的。 </w:t>
            </w:r>
          </w:p>
          <w:p>
            <w:pPr>
              <w:rPr>
                <w:rFonts w:ascii="宋体" w:hAnsi="宋体" w:cs="宋体"/>
                <w:sz w:val="24"/>
              </w:rPr>
            </w:pPr>
            <w:r>
              <w:rPr>
                <w:rFonts w:ascii="宋体" w:hAnsi="宋体" w:cs="宋体"/>
                <w:sz w:val="24"/>
              </w:rPr>
              <w:t>（</w:t>
            </w:r>
            <w:r>
              <w:rPr>
                <w:rFonts w:hint="eastAsia" w:ascii="宋体" w:hAnsi="宋体" w:cs="宋体"/>
                <w:sz w:val="24"/>
              </w:rPr>
              <w:t>4</w:t>
            </w:r>
            <w:r>
              <w:rPr>
                <w:rFonts w:ascii="宋体" w:hAnsi="宋体" w:cs="宋体"/>
                <w:sz w:val="24"/>
              </w:rPr>
              <w:t>）</w:t>
            </w:r>
            <w:r>
              <w:rPr>
                <w:rFonts w:hint="eastAsia" w:ascii="宋体" w:hAnsi="宋体" w:cs="宋体"/>
                <w:sz w:val="24"/>
              </w:rPr>
              <w:t>投标人</w:t>
            </w:r>
            <w:r>
              <w:rPr>
                <w:rFonts w:ascii="宋体" w:hAnsi="宋体" w:cs="宋体"/>
                <w:sz w:val="24"/>
              </w:rPr>
              <w:t>对采购人、采购代理机构、</w:t>
            </w:r>
            <w:r>
              <w:rPr>
                <w:rFonts w:hint="eastAsia" w:ascii="宋体" w:hAnsi="宋体" w:cs="宋体"/>
                <w:sz w:val="24"/>
              </w:rPr>
              <w:t>评标委员会</w:t>
            </w:r>
            <w:r>
              <w:rPr>
                <w:rFonts w:ascii="宋体" w:hAnsi="宋体" w:cs="宋体"/>
                <w:sz w:val="24"/>
              </w:rPr>
              <w:t>及其工作人员施加影响，有碍</w:t>
            </w:r>
            <w:r>
              <w:rPr>
                <w:rFonts w:hint="eastAsia" w:ascii="宋体" w:hAnsi="宋体" w:cs="宋体"/>
                <w:sz w:val="24"/>
              </w:rPr>
              <w:t>招标</w:t>
            </w:r>
            <w:r>
              <w:rPr>
                <w:rFonts w:ascii="宋体" w:hAnsi="宋体" w:cs="宋体"/>
                <w:sz w:val="24"/>
              </w:rPr>
              <w:t xml:space="preserve">公平、公正的。 </w:t>
            </w:r>
          </w:p>
          <w:p>
            <w:pPr>
              <w:rPr>
                <w:rFonts w:ascii="宋体" w:hAnsi="宋体" w:cs="宋体"/>
                <w:sz w:val="24"/>
              </w:rPr>
            </w:pPr>
            <w:r>
              <w:rPr>
                <w:rFonts w:ascii="宋体" w:hAnsi="宋体" w:cs="宋体"/>
                <w:sz w:val="24"/>
              </w:rPr>
              <w:t>（</w:t>
            </w:r>
            <w:r>
              <w:rPr>
                <w:rFonts w:hint="eastAsia" w:ascii="宋体" w:hAnsi="宋体" w:cs="宋体"/>
                <w:sz w:val="24"/>
              </w:rPr>
              <w:t>5</w:t>
            </w:r>
            <w:r>
              <w:rPr>
                <w:rFonts w:ascii="宋体" w:hAnsi="宋体" w:cs="宋体"/>
                <w:sz w:val="24"/>
              </w:rPr>
              <w:t>）</w:t>
            </w:r>
            <w:r>
              <w:rPr>
                <w:rFonts w:hint="eastAsia" w:ascii="宋体" w:hAnsi="宋体" w:cs="宋体"/>
                <w:sz w:val="24"/>
              </w:rPr>
              <w:t>投标</w:t>
            </w:r>
            <w:r>
              <w:rPr>
                <w:rFonts w:ascii="宋体" w:hAnsi="宋体" w:cs="宋体"/>
                <w:sz w:val="24"/>
              </w:rPr>
              <w:t xml:space="preserve">文件含有采购人不能接受的附加条件的。 </w:t>
            </w:r>
          </w:p>
          <w:p>
            <w:pPr>
              <w:rPr>
                <w:rFonts w:ascii="宋体" w:hAnsi="宋体" w:cs="宋体"/>
                <w:sz w:val="24"/>
              </w:rPr>
            </w:pPr>
            <w:r>
              <w:rPr>
                <w:rFonts w:ascii="宋体" w:hAnsi="宋体" w:cs="宋体"/>
                <w:sz w:val="24"/>
              </w:rPr>
              <w:t>（</w:t>
            </w:r>
            <w:r>
              <w:rPr>
                <w:rFonts w:hint="eastAsia" w:ascii="宋体" w:hAnsi="宋体" w:cs="宋体"/>
                <w:sz w:val="24"/>
              </w:rPr>
              <w:t>6</w:t>
            </w:r>
            <w:r>
              <w:rPr>
                <w:rFonts w:ascii="宋体" w:hAnsi="宋体" w:cs="宋体"/>
                <w:sz w:val="24"/>
              </w:rPr>
              <w:t>）法律、法规和</w:t>
            </w:r>
            <w:r>
              <w:rPr>
                <w:rFonts w:hint="eastAsia" w:ascii="宋体" w:hAnsi="宋体" w:cs="宋体"/>
                <w:sz w:val="24"/>
              </w:rPr>
              <w:t>招标</w:t>
            </w:r>
            <w:r>
              <w:rPr>
                <w:rFonts w:ascii="宋体" w:hAnsi="宋体" w:cs="宋体"/>
                <w:sz w:val="24"/>
              </w:rPr>
              <w:t>文件规定的其他无效情形。</w:t>
            </w:r>
          </w:p>
        </w:tc>
      </w:tr>
    </w:tbl>
    <w:p>
      <w:pPr>
        <w:widowControl/>
        <w:jc w:val="center"/>
        <w:outlineLvl w:val="3"/>
        <w:rPr>
          <w:rFonts w:ascii="黑体" w:hAnsi="宋体" w:eastAsia="黑体" w:cs="宋体"/>
          <w:sz w:val="28"/>
          <w:szCs w:val="28"/>
        </w:rPr>
      </w:pPr>
      <w:r>
        <w:rPr>
          <w:rFonts w:ascii="黑体" w:hAnsi="宋体" w:eastAsia="黑体" w:cs="宋体"/>
          <w:sz w:val="28"/>
          <w:szCs w:val="28"/>
        </w:rPr>
        <w:br w:type="page"/>
      </w:r>
      <w:r>
        <w:rPr>
          <w:rFonts w:hint="eastAsia" w:ascii="黑体" w:hAnsi="宋体" w:eastAsia="黑体" w:cs="宋体"/>
          <w:sz w:val="28"/>
          <w:szCs w:val="28"/>
        </w:rPr>
        <w:t>综合评分表</w:t>
      </w:r>
    </w:p>
    <w:tbl>
      <w:tblPr>
        <w:tblStyle w:val="55"/>
        <w:tblW w:w="99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7"/>
        <w:gridCol w:w="1223"/>
        <w:gridCol w:w="6312"/>
        <w:gridCol w:w="900"/>
        <w:gridCol w:w="7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7" w:type="dxa"/>
            <w:vAlign w:val="center"/>
          </w:tcPr>
          <w:p>
            <w:pPr>
              <w:adjustRightInd w:val="0"/>
              <w:snapToGrid w:val="0"/>
              <w:spacing w:line="380" w:lineRule="exact"/>
              <w:jc w:val="center"/>
              <w:rPr>
                <w:rFonts w:ascii="宋体" w:hAnsi="宋体" w:cs="宋体"/>
                <w:b/>
                <w:sz w:val="24"/>
              </w:rPr>
            </w:pPr>
            <w:r>
              <w:rPr>
                <w:rFonts w:hint="eastAsia" w:ascii="宋体" w:hAnsi="宋体" w:cs="宋体"/>
                <w:b/>
                <w:sz w:val="24"/>
              </w:rPr>
              <w:t>序号</w:t>
            </w:r>
          </w:p>
        </w:tc>
        <w:tc>
          <w:tcPr>
            <w:tcW w:w="1223" w:type="dxa"/>
            <w:vAlign w:val="center"/>
          </w:tcPr>
          <w:p>
            <w:pPr>
              <w:adjustRightInd w:val="0"/>
              <w:snapToGrid w:val="0"/>
              <w:spacing w:line="380" w:lineRule="exact"/>
              <w:jc w:val="center"/>
              <w:rPr>
                <w:rFonts w:ascii="宋体" w:hAnsi="宋体" w:cs="宋体"/>
                <w:b/>
                <w:sz w:val="24"/>
              </w:rPr>
            </w:pPr>
            <w:r>
              <w:rPr>
                <w:rFonts w:hint="eastAsia" w:ascii="宋体" w:hAnsi="宋体" w:cs="宋体"/>
                <w:b/>
                <w:sz w:val="24"/>
              </w:rPr>
              <w:t>评审因素</w:t>
            </w:r>
          </w:p>
        </w:tc>
        <w:tc>
          <w:tcPr>
            <w:tcW w:w="6312" w:type="dxa"/>
            <w:vAlign w:val="center"/>
          </w:tcPr>
          <w:p>
            <w:pPr>
              <w:adjustRightInd w:val="0"/>
              <w:snapToGrid w:val="0"/>
              <w:spacing w:line="380" w:lineRule="exact"/>
              <w:jc w:val="center"/>
              <w:rPr>
                <w:rFonts w:ascii="宋体" w:hAnsi="宋体" w:cs="宋体"/>
                <w:b/>
                <w:sz w:val="24"/>
              </w:rPr>
            </w:pPr>
            <w:r>
              <w:rPr>
                <w:rFonts w:hint="eastAsia" w:ascii="宋体" w:hAnsi="宋体" w:cs="宋体"/>
                <w:b/>
                <w:sz w:val="24"/>
              </w:rPr>
              <w:t>评分细则</w:t>
            </w:r>
          </w:p>
        </w:tc>
        <w:tc>
          <w:tcPr>
            <w:tcW w:w="900" w:type="dxa"/>
            <w:vAlign w:val="center"/>
          </w:tcPr>
          <w:p>
            <w:pPr>
              <w:adjustRightInd w:val="0"/>
              <w:snapToGrid w:val="0"/>
              <w:spacing w:line="380" w:lineRule="exact"/>
              <w:jc w:val="center"/>
              <w:rPr>
                <w:rFonts w:ascii="宋体" w:hAnsi="宋体" w:cs="宋体"/>
                <w:b/>
                <w:sz w:val="24"/>
              </w:rPr>
            </w:pPr>
            <w:r>
              <w:rPr>
                <w:rFonts w:hint="eastAsia" w:ascii="宋体" w:hAnsi="宋体" w:cs="宋体"/>
                <w:b/>
                <w:sz w:val="24"/>
              </w:rPr>
              <w:t>分值</w:t>
            </w:r>
          </w:p>
          <w:p>
            <w:pPr>
              <w:adjustRightInd w:val="0"/>
              <w:snapToGrid w:val="0"/>
              <w:spacing w:line="380" w:lineRule="exact"/>
              <w:jc w:val="center"/>
              <w:rPr>
                <w:rFonts w:ascii="宋体" w:hAnsi="宋体" w:cs="宋体"/>
                <w:b/>
                <w:sz w:val="24"/>
              </w:rPr>
            </w:pPr>
            <w:r>
              <w:rPr>
                <w:rFonts w:hint="eastAsia" w:ascii="宋体" w:hAnsi="宋体" w:cs="宋体"/>
                <w:b/>
                <w:sz w:val="24"/>
              </w:rPr>
              <w:t>（分）</w:t>
            </w:r>
          </w:p>
        </w:tc>
        <w:tc>
          <w:tcPr>
            <w:tcW w:w="734" w:type="dxa"/>
            <w:vAlign w:val="center"/>
          </w:tcPr>
          <w:p>
            <w:pPr>
              <w:adjustRightInd w:val="0"/>
              <w:snapToGrid w:val="0"/>
              <w:spacing w:line="380" w:lineRule="exact"/>
              <w:jc w:val="center"/>
              <w:rPr>
                <w:rFonts w:ascii="宋体" w:hAnsi="宋体" w:cs="宋体"/>
                <w:b/>
                <w:sz w:val="24"/>
              </w:rPr>
            </w:pPr>
            <w:r>
              <w:rPr>
                <w:rFonts w:hint="eastAsia" w:ascii="宋体" w:hAnsi="宋体" w:cs="宋体"/>
                <w:b/>
                <w:sz w:val="24"/>
              </w:rPr>
              <w:t>权重</w:t>
            </w:r>
          </w:p>
          <w:p>
            <w:pPr>
              <w:adjustRightInd w:val="0"/>
              <w:snapToGrid w:val="0"/>
              <w:spacing w:line="380" w:lineRule="exact"/>
              <w:jc w:val="center"/>
              <w:rPr>
                <w:rFonts w:ascii="宋体" w:hAnsi="宋体" w:cs="宋体"/>
                <w:b/>
                <w:sz w:val="24"/>
              </w:rPr>
            </w:pPr>
            <w:r>
              <w:rPr>
                <w:rFonts w:hint="eastAsia" w:ascii="宋体" w:hAnsi="宋体" w:cs="宋体"/>
                <w:b/>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807" w:type="dxa"/>
            <w:vAlign w:val="center"/>
          </w:tcPr>
          <w:p>
            <w:pPr>
              <w:adjustRightInd w:val="0"/>
              <w:snapToGrid w:val="0"/>
              <w:spacing w:line="380" w:lineRule="exact"/>
              <w:jc w:val="center"/>
              <w:rPr>
                <w:rFonts w:ascii="宋体" w:hAnsi="宋体" w:cs="宋体"/>
                <w:b/>
                <w:sz w:val="24"/>
              </w:rPr>
            </w:pPr>
            <w:r>
              <w:rPr>
                <w:rFonts w:hint="eastAsia" w:ascii="宋体" w:hAnsi="宋体" w:cs="宋体"/>
                <w:b/>
                <w:sz w:val="24"/>
              </w:rPr>
              <w:t>一</w:t>
            </w:r>
          </w:p>
        </w:tc>
        <w:tc>
          <w:tcPr>
            <w:tcW w:w="1223" w:type="dxa"/>
            <w:vAlign w:val="center"/>
          </w:tcPr>
          <w:p>
            <w:pPr>
              <w:adjustRightInd w:val="0"/>
              <w:snapToGrid w:val="0"/>
              <w:spacing w:line="380" w:lineRule="exact"/>
              <w:jc w:val="center"/>
              <w:rPr>
                <w:rFonts w:ascii="宋体" w:hAnsi="宋体" w:cs="宋体"/>
                <w:b/>
                <w:sz w:val="24"/>
              </w:rPr>
            </w:pPr>
            <w:r>
              <w:rPr>
                <w:rFonts w:hint="eastAsia" w:ascii="宋体" w:hAnsi="宋体"/>
                <w:b/>
                <w:sz w:val="24"/>
              </w:rPr>
              <w:t>分值构成</w:t>
            </w:r>
          </w:p>
        </w:tc>
        <w:tc>
          <w:tcPr>
            <w:tcW w:w="7946" w:type="dxa"/>
            <w:gridSpan w:val="3"/>
            <w:vAlign w:val="center"/>
          </w:tcPr>
          <w:p>
            <w:pPr>
              <w:adjustRightInd w:val="0"/>
              <w:snapToGrid w:val="0"/>
              <w:spacing w:line="380" w:lineRule="exact"/>
              <w:jc w:val="left"/>
              <w:rPr>
                <w:rFonts w:ascii="宋体" w:hAnsi="宋体"/>
                <w:bCs/>
                <w:sz w:val="24"/>
              </w:rPr>
            </w:pPr>
            <w:r>
              <w:rPr>
                <w:rFonts w:hint="eastAsia" w:ascii="宋体" w:hAnsi="宋体"/>
                <w:bCs/>
                <w:sz w:val="24"/>
              </w:rPr>
              <w:t>技术部分50.0分</w:t>
            </w:r>
          </w:p>
          <w:p>
            <w:pPr>
              <w:adjustRightInd w:val="0"/>
              <w:snapToGrid w:val="0"/>
              <w:spacing w:line="380" w:lineRule="exact"/>
              <w:jc w:val="left"/>
              <w:rPr>
                <w:rFonts w:ascii="宋体" w:hAnsi="宋体"/>
                <w:bCs/>
                <w:sz w:val="24"/>
              </w:rPr>
            </w:pPr>
            <w:r>
              <w:rPr>
                <w:rFonts w:hint="eastAsia" w:ascii="宋体" w:hAnsi="宋体"/>
                <w:bCs/>
                <w:sz w:val="24"/>
              </w:rPr>
              <w:t>商务部分20.0分</w:t>
            </w:r>
          </w:p>
          <w:p>
            <w:pPr>
              <w:adjustRightInd w:val="0"/>
              <w:snapToGrid w:val="0"/>
              <w:spacing w:line="380" w:lineRule="exact"/>
              <w:rPr>
                <w:rFonts w:ascii="宋体" w:hAnsi="宋体"/>
                <w:b/>
                <w:sz w:val="24"/>
              </w:rPr>
            </w:pPr>
            <w:r>
              <w:rPr>
                <w:rFonts w:hint="eastAsia" w:ascii="宋体" w:hAnsi="宋体"/>
                <w:bCs/>
                <w:sz w:val="24"/>
              </w:rPr>
              <w:t>报价得分30.0分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7" w:type="dxa"/>
            <w:vAlign w:val="center"/>
          </w:tcPr>
          <w:p>
            <w:pPr>
              <w:pStyle w:val="160"/>
              <w:adjustRightInd w:val="0"/>
              <w:snapToGrid w:val="0"/>
              <w:spacing w:line="380" w:lineRule="exact"/>
              <w:ind w:firstLine="0" w:firstLineChars="0"/>
              <w:jc w:val="center"/>
              <w:rPr>
                <w:rFonts w:ascii="宋体" w:hAnsi="宋体"/>
                <w:sz w:val="24"/>
              </w:rPr>
            </w:pPr>
            <w:bookmarkStart w:id="27" w:name="_Hlk29364836"/>
            <w:r>
              <w:rPr>
                <w:rFonts w:hint="eastAsia" w:ascii="宋体" w:hAnsi="宋体"/>
                <w:sz w:val="24"/>
              </w:rPr>
              <w:t>二</w:t>
            </w:r>
          </w:p>
        </w:tc>
        <w:tc>
          <w:tcPr>
            <w:tcW w:w="9169" w:type="dxa"/>
            <w:gridSpan w:val="4"/>
            <w:vAlign w:val="center"/>
          </w:tcPr>
          <w:p>
            <w:pPr>
              <w:adjustRightInd w:val="0"/>
              <w:snapToGrid w:val="0"/>
              <w:spacing w:line="380" w:lineRule="exact"/>
              <w:jc w:val="center"/>
              <w:rPr>
                <w:rFonts w:ascii="宋体" w:hAnsi="宋体"/>
                <w:sz w:val="24"/>
              </w:rPr>
            </w:pPr>
            <w:r>
              <w:rPr>
                <w:rFonts w:hint="eastAsia" w:ascii="宋体" w:hAnsi="宋体"/>
                <w:b/>
                <w:sz w:val="24"/>
              </w:rPr>
              <w:t>技术部分（合计50分）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807" w:type="dxa"/>
            <w:vAlign w:val="center"/>
          </w:tcPr>
          <w:p>
            <w:pPr>
              <w:pStyle w:val="160"/>
              <w:numPr>
                <w:ilvl w:val="0"/>
                <w:numId w:val="11"/>
              </w:numPr>
              <w:adjustRightInd w:val="0"/>
              <w:snapToGrid w:val="0"/>
              <w:spacing w:line="380" w:lineRule="exact"/>
              <w:ind w:firstLineChars="0"/>
              <w:jc w:val="center"/>
              <w:rPr>
                <w:rFonts w:ascii="宋体" w:hAnsi="宋体"/>
                <w:sz w:val="24"/>
              </w:rPr>
            </w:pPr>
          </w:p>
        </w:tc>
        <w:tc>
          <w:tcPr>
            <w:tcW w:w="1223" w:type="dxa"/>
            <w:vAlign w:val="center"/>
          </w:tcPr>
          <w:p>
            <w:pPr>
              <w:spacing w:line="380" w:lineRule="exact"/>
              <w:rPr>
                <w:rFonts w:ascii="宋体" w:hAnsi="宋体"/>
                <w:sz w:val="24"/>
              </w:rPr>
            </w:pPr>
            <w:r>
              <w:rPr>
                <w:rFonts w:hint="eastAsia" w:asciiTheme="minorEastAsia" w:hAnsiTheme="minorEastAsia" w:eastAsiaTheme="minorEastAsia"/>
                <w:kern w:val="0"/>
                <w:sz w:val="24"/>
              </w:rPr>
              <w:t>总体服务</w:t>
            </w:r>
          </w:p>
        </w:tc>
        <w:tc>
          <w:tcPr>
            <w:tcW w:w="6312" w:type="dxa"/>
            <w:vAlign w:val="center"/>
          </w:tcPr>
          <w:p>
            <w:pPr>
              <w:tabs>
                <w:tab w:val="left" w:pos="420"/>
                <w:tab w:val="left" w:pos="840"/>
                <w:tab w:val="left" w:pos="1260"/>
                <w:tab w:val="left" w:pos="4800"/>
              </w:tabs>
              <w:adjustRightInd w:val="0"/>
              <w:snapToGrid w:val="0"/>
              <w:spacing w:line="380" w:lineRule="exact"/>
              <w:rPr>
                <w:rFonts w:asciiTheme="minorEastAsia" w:hAnsiTheme="minorEastAsia" w:eastAsiaTheme="minorEastAsia"/>
                <w:sz w:val="24"/>
              </w:rPr>
            </w:pPr>
            <w:r>
              <w:rPr>
                <w:rFonts w:hint="eastAsia" w:asciiTheme="minorEastAsia" w:hAnsiTheme="minorEastAsia" w:eastAsiaTheme="minorEastAsia"/>
                <w:sz w:val="24"/>
              </w:rPr>
              <w:t>综合评价投标人在本项目实施过程中的配送服务、售后服务、质量保障计划、客服沟通体系、配送服务人员数量等情况进行评审：</w:t>
            </w:r>
          </w:p>
          <w:p>
            <w:pPr>
              <w:spacing w:line="380" w:lineRule="exact"/>
              <w:rPr>
                <w:rFonts w:asciiTheme="minorEastAsia" w:hAnsiTheme="minorEastAsia" w:eastAsiaTheme="minorEastAsia"/>
                <w:sz w:val="24"/>
              </w:rPr>
            </w:pPr>
            <w:r>
              <w:rPr>
                <w:rFonts w:hint="eastAsia" w:asciiTheme="minorEastAsia" w:hAnsiTheme="minorEastAsia" w:eastAsiaTheme="minorEastAsia"/>
                <w:sz w:val="24"/>
              </w:rPr>
              <w:t>1.配送、售后服务、质量保障计划周全、客服沟通体系完整健全，安排专人对接售后工作（包括接单、挑货、配送、对账、随访等工作），配送</w:t>
            </w:r>
            <w:r>
              <w:rPr>
                <w:rFonts w:asciiTheme="minorEastAsia" w:hAnsiTheme="minorEastAsia" w:eastAsiaTheme="minorEastAsia"/>
                <w:sz w:val="24"/>
              </w:rPr>
              <w:t>货物</w:t>
            </w:r>
            <w:r>
              <w:rPr>
                <w:rFonts w:hint="eastAsia" w:asciiTheme="minorEastAsia" w:hAnsiTheme="minorEastAsia" w:eastAsiaTheme="minorEastAsia"/>
                <w:sz w:val="24"/>
              </w:rPr>
              <w:t>同时安排人员协助搬运、存放或协助售卖工作的，得</w:t>
            </w:r>
            <w:r>
              <w:rPr>
                <w:rFonts w:asciiTheme="minorEastAsia" w:hAnsiTheme="minorEastAsia" w:eastAsiaTheme="minorEastAsia"/>
                <w:sz w:val="24"/>
              </w:rPr>
              <w:t>10</w:t>
            </w:r>
            <w:r>
              <w:rPr>
                <w:rFonts w:hint="eastAsia" w:asciiTheme="minorEastAsia" w:hAnsiTheme="minorEastAsia" w:eastAsiaTheme="minorEastAsia"/>
                <w:sz w:val="24"/>
              </w:rPr>
              <w:t>分；</w:t>
            </w:r>
          </w:p>
          <w:p>
            <w:pPr>
              <w:spacing w:line="380" w:lineRule="exact"/>
              <w:rPr>
                <w:rFonts w:asciiTheme="minorEastAsia" w:hAnsiTheme="minorEastAsia" w:eastAsiaTheme="minorEastAsia"/>
                <w:sz w:val="24"/>
              </w:rPr>
            </w:pPr>
            <w:r>
              <w:rPr>
                <w:rFonts w:hint="eastAsia" w:asciiTheme="minorEastAsia" w:hAnsiTheme="minorEastAsia" w:eastAsiaTheme="minorEastAsia"/>
                <w:sz w:val="24"/>
              </w:rPr>
              <w:t>2.配送、售后服务、质量保障计划满足供货要求、客服沟通体系完整、安排专人对接售后工作（包括接单、挑货、配送、对账、随访等工作），配送</w:t>
            </w:r>
            <w:r>
              <w:rPr>
                <w:rFonts w:asciiTheme="minorEastAsia" w:hAnsiTheme="minorEastAsia" w:eastAsiaTheme="minorEastAsia"/>
                <w:sz w:val="24"/>
              </w:rPr>
              <w:t>货物</w:t>
            </w:r>
            <w:r>
              <w:rPr>
                <w:rFonts w:hint="eastAsia" w:asciiTheme="minorEastAsia" w:hAnsiTheme="minorEastAsia" w:eastAsiaTheme="minorEastAsia"/>
                <w:sz w:val="24"/>
              </w:rPr>
              <w:t>同时安排人员协助搬运、存放或协助售卖工作的，得</w:t>
            </w:r>
            <w:r>
              <w:rPr>
                <w:rFonts w:asciiTheme="minorEastAsia" w:hAnsiTheme="minorEastAsia" w:eastAsiaTheme="minorEastAsia"/>
                <w:sz w:val="24"/>
              </w:rPr>
              <w:t>6</w:t>
            </w:r>
            <w:r>
              <w:rPr>
                <w:rFonts w:hint="eastAsia" w:asciiTheme="minorEastAsia" w:hAnsiTheme="minorEastAsia" w:eastAsiaTheme="minorEastAsia"/>
                <w:sz w:val="24"/>
              </w:rPr>
              <w:t>分；</w:t>
            </w:r>
          </w:p>
          <w:p>
            <w:pPr>
              <w:spacing w:line="380" w:lineRule="exact"/>
              <w:rPr>
                <w:rFonts w:asciiTheme="minorEastAsia" w:hAnsiTheme="minorEastAsia" w:eastAsiaTheme="minorEastAsia"/>
                <w:sz w:val="24"/>
              </w:rPr>
            </w:pPr>
            <w:r>
              <w:rPr>
                <w:rFonts w:hint="eastAsia" w:asciiTheme="minorEastAsia" w:hAnsiTheme="minorEastAsia" w:eastAsiaTheme="minorEastAsia"/>
                <w:sz w:val="24"/>
              </w:rPr>
              <w:t>3.配送、售后服务、质量保障计划基本满足供货要求、客服沟通体系有缺漏、安排专人对接售后工作（包括接单、挑货、配送、对账、随访等工作），配送</w:t>
            </w:r>
            <w:r>
              <w:rPr>
                <w:rFonts w:asciiTheme="minorEastAsia" w:hAnsiTheme="minorEastAsia" w:eastAsiaTheme="minorEastAsia"/>
                <w:sz w:val="24"/>
              </w:rPr>
              <w:t>货物</w:t>
            </w:r>
            <w:r>
              <w:rPr>
                <w:rFonts w:hint="eastAsia" w:asciiTheme="minorEastAsia" w:hAnsiTheme="minorEastAsia" w:eastAsiaTheme="minorEastAsia"/>
                <w:sz w:val="24"/>
              </w:rPr>
              <w:t>同时安排人员协助搬运、存放或协助售卖工作的，得</w:t>
            </w:r>
            <w:r>
              <w:rPr>
                <w:rFonts w:asciiTheme="minorEastAsia" w:hAnsiTheme="minorEastAsia" w:eastAsiaTheme="minorEastAsia"/>
                <w:sz w:val="24"/>
              </w:rPr>
              <w:t>3</w:t>
            </w:r>
            <w:r>
              <w:rPr>
                <w:rFonts w:hint="eastAsia" w:asciiTheme="minorEastAsia" w:hAnsiTheme="minorEastAsia" w:eastAsiaTheme="minorEastAsia"/>
                <w:sz w:val="24"/>
              </w:rPr>
              <w:t>分；</w:t>
            </w:r>
          </w:p>
          <w:p>
            <w:pPr>
              <w:spacing w:line="380" w:lineRule="exact"/>
              <w:rPr>
                <w:rFonts w:asciiTheme="minorEastAsia" w:hAnsiTheme="minorEastAsia" w:eastAsiaTheme="minorEastAsia"/>
                <w:sz w:val="24"/>
              </w:rPr>
            </w:pPr>
            <w:r>
              <w:rPr>
                <w:rFonts w:hint="eastAsia" w:asciiTheme="minorEastAsia" w:hAnsiTheme="minorEastAsia" w:eastAsiaTheme="minorEastAsia"/>
                <w:sz w:val="24"/>
              </w:rPr>
              <w:t>4.配送、售后服务、质量保障计划较差、无完整的客服沟通体系、无安排专人对接售后工作（包括接单、挑货、配送、对账、随访等工作），无法安排配送服务人员的，得</w:t>
            </w:r>
            <w:r>
              <w:rPr>
                <w:rFonts w:asciiTheme="minorEastAsia" w:hAnsiTheme="minorEastAsia" w:eastAsiaTheme="minorEastAsia"/>
                <w:sz w:val="24"/>
              </w:rPr>
              <w:t>1</w:t>
            </w:r>
            <w:r>
              <w:rPr>
                <w:rFonts w:hint="eastAsia" w:asciiTheme="minorEastAsia" w:hAnsiTheme="minorEastAsia" w:eastAsiaTheme="minorEastAsia"/>
                <w:sz w:val="24"/>
              </w:rPr>
              <w:t>分；</w:t>
            </w:r>
          </w:p>
          <w:p>
            <w:pPr>
              <w:adjustRightInd w:val="0"/>
              <w:snapToGrid w:val="0"/>
              <w:spacing w:line="380" w:lineRule="exact"/>
              <w:jc w:val="left"/>
              <w:rPr>
                <w:rFonts w:ascii="宋体" w:hAnsi="宋体"/>
                <w:sz w:val="24"/>
              </w:rPr>
            </w:pPr>
            <w:r>
              <w:rPr>
                <w:rFonts w:hint="eastAsia" w:asciiTheme="minorEastAsia" w:hAnsiTheme="minorEastAsia" w:eastAsiaTheme="minorEastAsia"/>
                <w:sz w:val="24"/>
              </w:rPr>
              <w:t>5.其余不得分。</w:t>
            </w:r>
          </w:p>
        </w:tc>
        <w:tc>
          <w:tcPr>
            <w:tcW w:w="900" w:type="dxa"/>
            <w:vAlign w:val="center"/>
          </w:tcPr>
          <w:p>
            <w:pPr>
              <w:adjustRightInd w:val="0"/>
              <w:snapToGrid w:val="0"/>
              <w:spacing w:line="380" w:lineRule="exact"/>
              <w:jc w:val="center"/>
              <w:rPr>
                <w:rFonts w:ascii="宋体" w:hAnsi="宋体"/>
                <w:kern w:val="0"/>
                <w:sz w:val="24"/>
              </w:rPr>
            </w:pPr>
            <w:r>
              <w:rPr>
                <w:rFonts w:hint="eastAsia" w:ascii="宋体" w:hAnsi="宋体"/>
                <w:kern w:val="0"/>
                <w:sz w:val="24"/>
              </w:rPr>
              <w:t>10</w:t>
            </w:r>
          </w:p>
        </w:tc>
        <w:tc>
          <w:tcPr>
            <w:tcW w:w="734" w:type="dxa"/>
            <w:vAlign w:val="center"/>
          </w:tcPr>
          <w:p>
            <w:pPr>
              <w:adjustRightInd w:val="0"/>
              <w:snapToGrid w:val="0"/>
              <w:spacing w:line="380" w:lineRule="exact"/>
              <w:jc w:val="center"/>
              <w:rPr>
                <w:rFonts w:ascii="宋体" w:hAnsi="宋体"/>
                <w:kern w:val="0"/>
                <w:sz w:val="24"/>
              </w:rPr>
            </w:pPr>
            <w:r>
              <w:rPr>
                <w:rFonts w:hint="eastAsia" w:ascii="宋体" w:hAnsi="宋体"/>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2" w:hRule="atLeast"/>
          <w:jc w:val="center"/>
        </w:trPr>
        <w:tc>
          <w:tcPr>
            <w:tcW w:w="807" w:type="dxa"/>
            <w:vAlign w:val="center"/>
          </w:tcPr>
          <w:p>
            <w:pPr>
              <w:pStyle w:val="160"/>
              <w:numPr>
                <w:ilvl w:val="0"/>
                <w:numId w:val="11"/>
              </w:numPr>
              <w:adjustRightInd w:val="0"/>
              <w:snapToGrid w:val="0"/>
              <w:spacing w:line="380" w:lineRule="exact"/>
              <w:ind w:firstLineChars="0"/>
              <w:jc w:val="center"/>
              <w:rPr>
                <w:rFonts w:ascii="宋体" w:hAnsi="宋体"/>
                <w:sz w:val="24"/>
              </w:rPr>
            </w:pPr>
          </w:p>
        </w:tc>
        <w:tc>
          <w:tcPr>
            <w:tcW w:w="1223" w:type="dxa"/>
            <w:vAlign w:val="center"/>
          </w:tcPr>
          <w:p>
            <w:pPr>
              <w:spacing w:line="380" w:lineRule="exact"/>
              <w:rPr>
                <w:rFonts w:ascii="宋体" w:hAnsi="宋体"/>
                <w:sz w:val="24"/>
              </w:rPr>
            </w:pPr>
            <w:r>
              <w:rPr>
                <w:rFonts w:hint="eastAsia" w:asciiTheme="minorEastAsia" w:hAnsiTheme="minorEastAsia" w:eastAsiaTheme="minorEastAsia"/>
                <w:sz w:val="24"/>
              </w:rPr>
              <w:t>产品质量及安全保证</w:t>
            </w:r>
          </w:p>
        </w:tc>
        <w:tc>
          <w:tcPr>
            <w:tcW w:w="6312" w:type="dxa"/>
            <w:vAlign w:val="center"/>
          </w:tcPr>
          <w:p>
            <w:pPr>
              <w:spacing w:line="380" w:lineRule="exact"/>
              <w:rPr>
                <w:rFonts w:asciiTheme="minorEastAsia" w:hAnsiTheme="minorEastAsia" w:eastAsiaTheme="minorEastAsia"/>
                <w:sz w:val="24"/>
              </w:rPr>
            </w:pPr>
            <w:r>
              <w:rPr>
                <w:rFonts w:hint="eastAsia" w:asciiTheme="minorEastAsia" w:hAnsiTheme="minorEastAsia" w:eastAsiaTheme="minorEastAsia"/>
                <w:sz w:val="24"/>
              </w:rPr>
              <w:t xml:space="preserve">根据投标产品的来源、产地、原料来源、生产环境、包装密封性、防腐防潮情况、检验及检疫进行比较，对所供产品各环节的质量保证及产品安全措施进行综合评价： </w:t>
            </w:r>
          </w:p>
          <w:p>
            <w:pPr>
              <w:spacing w:line="380" w:lineRule="exact"/>
              <w:rPr>
                <w:rFonts w:asciiTheme="minorEastAsia" w:hAnsiTheme="minorEastAsia" w:eastAsiaTheme="minorEastAsia"/>
                <w:sz w:val="24"/>
              </w:rPr>
            </w:pPr>
            <w:r>
              <w:rPr>
                <w:rFonts w:hint="eastAsia" w:asciiTheme="minorEastAsia" w:hAnsiTheme="minorEastAsia" w:eastAsiaTheme="minorEastAsia"/>
                <w:sz w:val="24"/>
              </w:rPr>
              <w:t>1.产品来源清晰、产地明确、原料来源可溯、生产环境整洁卫生、包装密封性很好、防腐防潮效果显著、检验及检疫措施规范，质量及产品安全保障措施完善，详细可行，得</w:t>
            </w:r>
            <w:r>
              <w:rPr>
                <w:rFonts w:asciiTheme="minorEastAsia" w:hAnsiTheme="minorEastAsia" w:eastAsiaTheme="minorEastAsia"/>
                <w:sz w:val="24"/>
              </w:rPr>
              <w:t>15</w:t>
            </w:r>
            <w:r>
              <w:rPr>
                <w:rFonts w:hint="eastAsia" w:asciiTheme="minorEastAsia" w:hAnsiTheme="minorEastAsia" w:eastAsiaTheme="minorEastAsia"/>
                <w:sz w:val="24"/>
              </w:rPr>
              <w:t>分；</w:t>
            </w:r>
          </w:p>
          <w:p>
            <w:pPr>
              <w:spacing w:line="380" w:lineRule="exact"/>
              <w:rPr>
                <w:rFonts w:asciiTheme="minorEastAsia" w:hAnsiTheme="minorEastAsia" w:eastAsiaTheme="minorEastAsia"/>
                <w:sz w:val="24"/>
              </w:rPr>
            </w:pPr>
            <w:r>
              <w:rPr>
                <w:rFonts w:hint="eastAsia" w:asciiTheme="minorEastAsia" w:hAnsiTheme="minorEastAsia" w:eastAsiaTheme="minorEastAsia"/>
                <w:sz w:val="24"/>
              </w:rPr>
              <w:t>2.产品来源清晰、产地明确、原料来源可溯、生产环境整洁卫生、包装密封性较好、防腐防潮效果较好、检验及检疫措施较为规范，质量及产品安全保障措施描述完整，具体、可行性较高，得</w:t>
            </w:r>
            <w:r>
              <w:rPr>
                <w:rFonts w:asciiTheme="minorEastAsia" w:hAnsiTheme="minorEastAsia" w:eastAsiaTheme="minorEastAsia"/>
                <w:sz w:val="24"/>
              </w:rPr>
              <w:t>10</w:t>
            </w:r>
            <w:r>
              <w:rPr>
                <w:rFonts w:hint="eastAsia" w:asciiTheme="minorEastAsia" w:hAnsiTheme="minorEastAsia" w:eastAsiaTheme="minorEastAsia"/>
                <w:sz w:val="24"/>
              </w:rPr>
              <w:t>分；</w:t>
            </w:r>
          </w:p>
          <w:p>
            <w:pPr>
              <w:spacing w:line="380" w:lineRule="exact"/>
              <w:rPr>
                <w:rFonts w:asciiTheme="minorEastAsia" w:hAnsiTheme="minorEastAsia" w:eastAsiaTheme="minorEastAsia"/>
                <w:sz w:val="24"/>
              </w:rPr>
            </w:pPr>
            <w:r>
              <w:rPr>
                <w:rFonts w:hint="eastAsia" w:asciiTheme="minorEastAsia" w:hAnsiTheme="minorEastAsia" w:eastAsiaTheme="minorEastAsia"/>
                <w:sz w:val="24"/>
              </w:rPr>
              <w:t>3.产品来源清晰、产地明确、原料来源正规、生产环境卫生较好、包装密封性较好、防腐防潮效果较好、检验及检疫措施较为规范，质量及产品安全保障措施描述清晰，但不够具体、具有一定的可行性，得</w:t>
            </w:r>
            <w:r>
              <w:rPr>
                <w:rFonts w:asciiTheme="minorEastAsia" w:hAnsiTheme="minorEastAsia" w:eastAsiaTheme="minorEastAsia"/>
                <w:sz w:val="24"/>
              </w:rPr>
              <w:t>5</w:t>
            </w:r>
            <w:r>
              <w:rPr>
                <w:rFonts w:hint="eastAsia" w:asciiTheme="minorEastAsia" w:hAnsiTheme="minorEastAsia" w:eastAsiaTheme="minorEastAsia"/>
                <w:sz w:val="24"/>
              </w:rPr>
              <w:t>分；</w:t>
            </w:r>
          </w:p>
          <w:p>
            <w:pPr>
              <w:spacing w:line="380" w:lineRule="exact"/>
              <w:rPr>
                <w:rFonts w:asciiTheme="minorEastAsia" w:hAnsiTheme="minorEastAsia" w:eastAsiaTheme="minorEastAsia"/>
                <w:sz w:val="24"/>
              </w:rPr>
            </w:pPr>
            <w:r>
              <w:rPr>
                <w:rFonts w:hint="eastAsia" w:asciiTheme="minorEastAsia" w:hAnsiTheme="minorEastAsia" w:eastAsiaTheme="minorEastAsia"/>
                <w:sz w:val="24"/>
              </w:rPr>
              <w:t>4.产品来源清晰、产地明确、原料来源正规、生产环境卫生较好、包装密封性一般、防腐防潮效果一般、检验及检疫措施规范性一般，质量及产品安全保障措施描述不够清晰，可行性一般，得</w:t>
            </w:r>
            <w:r>
              <w:rPr>
                <w:rFonts w:asciiTheme="minorEastAsia" w:hAnsiTheme="minorEastAsia" w:eastAsiaTheme="minorEastAsia"/>
                <w:sz w:val="24"/>
              </w:rPr>
              <w:t>1</w:t>
            </w:r>
            <w:r>
              <w:rPr>
                <w:rFonts w:hint="eastAsia" w:asciiTheme="minorEastAsia" w:hAnsiTheme="minorEastAsia" w:eastAsiaTheme="minorEastAsia"/>
                <w:sz w:val="24"/>
              </w:rPr>
              <w:t>分；</w:t>
            </w:r>
          </w:p>
          <w:p>
            <w:pPr>
              <w:adjustRightInd w:val="0"/>
              <w:snapToGrid w:val="0"/>
              <w:spacing w:line="380" w:lineRule="exact"/>
              <w:jc w:val="left"/>
              <w:rPr>
                <w:rFonts w:ascii="宋体" w:hAnsi="宋体"/>
                <w:sz w:val="24"/>
              </w:rPr>
            </w:pPr>
            <w:r>
              <w:rPr>
                <w:rFonts w:hint="eastAsia" w:asciiTheme="minorEastAsia" w:hAnsiTheme="minorEastAsia" w:eastAsiaTheme="minorEastAsia"/>
                <w:sz w:val="24"/>
              </w:rPr>
              <w:t>5.其余不得分。</w:t>
            </w:r>
          </w:p>
        </w:tc>
        <w:tc>
          <w:tcPr>
            <w:tcW w:w="900" w:type="dxa"/>
            <w:vAlign w:val="center"/>
          </w:tcPr>
          <w:p>
            <w:pPr>
              <w:adjustRightInd w:val="0"/>
              <w:snapToGrid w:val="0"/>
              <w:spacing w:line="380" w:lineRule="exact"/>
              <w:jc w:val="center"/>
              <w:rPr>
                <w:rFonts w:ascii="宋体" w:hAnsi="宋体"/>
                <w:kern w:val="0"/>
                <w:sz w:val="24"/>
              </w:rPr>
            </w:pPr>
            <w:r>
              <w:rPr>
                <w:rFonts w:hint="eastAsia" w:ascii="宋体" w:hAnsi="宋体"/>
                <w:kern w:val="0"/>
                <w:sz w:val="24"/>
              </w:rPr>
              <w:t>15</w:t>
            </w:r>
          </w:p>
        </w:tc>
        <w:tc>
          <w:tcPr>
            <w:tcW w:w="734" w:type="dxa"/>
            <w:vAlign w:val="center"/>
          </w:tcPr>
          <w:p>
            <w:pPr>
              <w:adjustRightInd w:val="0"/>
              <w:snapToGrid w:val="0"/>
              <w:spacing w:line="380" w:lineRule="exact"/>
              <w:jc w:val="center"/>
              <w:rPr>
                <w:rFonts w:ascii="宋体" w:hAnsi="宋体"/>
                <w:kern w:val="0"/>
                <w:sz w:val="24"/>
              </w:rPr>
            </w:pPr>
            <w:r>
              <w:rPr>
                <w:rFonts w:hint="eastAsia" w:ascii="宋体" w:hAnsi="宋体"/>
                <w:kern w:val="0"/>
                <w:sz w:val="24"/>
              </w:rPr>
              <w:t>15</w:t>
            </w:r>
          </w:p>
        </w:tc>
      </w:tr>
      <w:bookmarkEnd w:id="27"/>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5" w:hRule="atLeast"/>
          <w:jc w:val="center"/>
        </w:trPr>
        <w:tc>
          <w:tcPr>
            <w:tcW w:w="807" w:type="dxa"/>
            <w:vAlign w:val="center"/>
          </w:tcPr>
          <w:p>
            <w:pPr>
              <w:pStyle w:val="160"/>
              <w:numPr>
                <w:ilvl w:val="0"/>
                <w:numId w:val="11"/>
              </w:numPr>
              <w:adjustRightInd w:val="0"/>
              <w:snapToGrid w:val="0"/>
              <w:spacing w:line="380" w:lineRule="exact"/>
              <w:ind w:firstLineChars="0"/>
              <w:jc w:val="center"/>
              <w:rPr>
                <w:rFonts w:ascii="宋体" w:hAnsi="宋体"/>
                <w:sz w:val="24"/>
              </w:rPr>
            </w:pPr>
          </w:p>
        </w:tc>
        <w:tc>
          <w:tcPr>
            <w:tcW w:w="1223" w:type="dxa"/>
            <w:vAlign w:val="center"/>
          </w:tcPr>
          <w:p>
            <w:pPr>
              <w:spacing w:line="380" w:lineRule="exact"/>
              <w:rPr>
                <w:rFonts w:ascii="宋体" w:hAnsi="宋体"/>
                <w:sz w:val="24"/>
              </w:rPr>
            </w:pPr>
            <w:r>
              <w:rPr>
                <w:rFonts w:hint="eastAsia" w:asciiTheme="minorEastAsia" w:hAnsiTheme="minorEastAsia" w:eastAsiaTheme="minorEastAsia"/>
                <w:sz w:val="24"/>
              </w:rPr>
              <w:t>卫生安全保障计划措施、应急计划</w:t>
            </w:r>
          </w:p>
        </w:tc>
        <w:tc>
          <w:tcPr>
            <w:tcW w:w="6312" w:type="dxa"/>
            <w:vAlign w:val="center"/>
          </w:tcPr>
          <w:p>
            <w:pPr>
              <w:tabs>
                <w:tab w:val="left" w:pos="420"/>
                <w:tab w:val="left" w:pos="840"/>
                <w:tab w:val="left" w:pos="1260"/>
                <w:tab w:val="left" w:pos="4800"/>
              </w:tabs>
              <w:adjustRightInd w:val="0"/>
              <w:snapToGrid w:val="0"/>
              <w:spacing w:line="380" w:lineRule="exact"/>
              <w:rPr>
                <w:rFonts w:asciiTheme="minorEastAsia" w:hAnsiTheme="minorEastAsia" w:eastAsiaTheme="minorEastAsia"/>
                <w:sz w:val="24"/>
              </w:rPr>
            </w:pPr>
            <w:r>
              <w:rPr>
                <w:rFonts w:hint="eastAsia" w:asciiTheme="minorEastAsia" w:hAnsiTheme="minorEastAsia" w:eastAsiaTheme="minorEastAsia"/>
                <w:sz w:val="24"/>
              </w:rPr>
              <w:t>综合评价投标人在本项目实施过程中的卫生安全保障、应急措施、应急配送、突发情况处理等情况进行评审：</w:t>
            </w:r>
          </w:p>
          <w:p>
            <w:pPr>
              <w:spacing w:line="380" w:lineRule="exact"/>
              <w:rPr>
                <w:rFonts w:asciiTheme="minorEastAsia" w:hAnsiTheme="minorEastAsia" w:eastAsiaTheme="minorEastAsia"/>
                <w:sz w:val="24"/>
              </w:rPr>
            </w:pPr>
            <w:r>
              <w:rPr>
                <w:rFonts w:hint="eastAsia" w:asciiTheme="minorEastAsia" w:hAnsiTheme="minorEastAsia" w:eastAsiaTheme="minorEastAsia"/>
                <w:sz w:val="24"/>
              </w:rPr>
              <w:t>①投标人针对本项目制定卫生安全保障措施，对卫生安全的承诺。</w:t>
            </w:r>
          </w:p>
          <w:p>
            <w:pPr>
              <w:pStyle w:val="36"/>
              <w:spacing w:before="0" w:after="0" w:line="380" w:lineRule="exact"/>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fldChar w:fldCharType="begin"/>
            </w:r>
            <w:r>
              <w:rPr>
                <w:rFonts w:hint="eastAsia" w:asciiTheme="minorEastAsia" w:hAnsiTheme="minorEastAsia" w:eastAsiaTheme="minorEastAsia"/>
                <w:b w:val="0"/>
                <w:bCs w:val="0"/>
                <w:sz w:val="24"/>
                <w:szCs w:val="24"/>
              </w:rPr>
              <w:instrText xml:space="preserve">= 2 \* GB3</w:instrText>
            </w:r>
            <w:r>
              <w:rPr>
                <w:rFonts w:hint="eastAsia" w:asciiTheme="minorEastAsia" w:hAnsiTheme="minorEastAsia" w:eastAsiaTheme="minorEastAsia"/>
                <w:b w:val="0"/>
                <w:bCs w:val="0"/>
                <w:sz w:val="24"/>
                <w:szCs w:val="24"/>
              </w:rPr>
              <w:fldChar w:fldCharType="separate"/>
            </w:r>
            <w:r>
              <w:rPr>
                <w:rFonts w:hint="eastAsia" w:asciiTheme="minorEastAsia" w:hAnsiTheme="minorEastAsia" w:eastAsiaTheme="minorEastAsia"/>
                <w:b w:val="0"/>
                <w:bCs w:val="0"/>
                <w:sz w:val="24"/>
                <w:szCs w:val="24"/>
              </w:rPr>
              <w:t>②</w:t>
            </w:r>
            <w:r>
              <w:rPr>
                <w:rFonts w:hint="eastAsia" w:asciiTheme="minorEastAsia" w:hAnsiTheme="minorEastAsia" w:eastAsiaTheme="minorEastAsia"/>
                <w:b w:val="0"/>
                <w:bCs w:val="0"/>
                <w:sz w:val="24"/>
                <w:szCs w:val="24"/>
              </w:rPr>
              <w:fldChar w:fldCharType="end"/>
            </w:r>
            <w:r>
              <w:rPr>
                <w:rFonts w:hint="eastAsia" w:asciiTheme="minorEastAsia" w:hAnsiTheme="minorEastAsia" w:eastAsiaTheme="minorEastAsia"/>
                <w:b w:val="0"/>
                <w:bCs w:val="0"/>
                <w:sz w:val="24"/>
                <w:szCs w:val="24"/>
              </w:rPr>
              <w:t>出现突发问题、质量问题时投标人现场退换处理、或事后通知退换处理的详细方案的流程方案。</w:t>
            </w:r>
          </w:p>
          <w:p>
            <w:pPr>
              <w:spacing w:line="380" w:lineRule="exact"/>
              <w:rPr>
                <w:rFonts w:asciiTheme="minorEastAsia" w:hAnsiTheme="minorEastAsia" w:eastAsiaTheme="minorEastAsia"/>
                <w:sz w:val="24"/>
              </w:rPr>
            </w:pPr>
            <w:r>
              <w:rPr>
                <w:rFonts w:hint="eastAsia" w:asciiTheme="minorEastAsia" w:hAnsiTheme="minorEastAsia" w:eastAsiaTheme="minorEastAsia"/>
                <w:sz w:val="24"/>
              </w:rPr>
              <w:t>1.卫生安全保障计划措施、应急计划与预案、突发情况处理方案细致、针对性强的</w:t>
            </w:r>
            <w:r>
              <w:rPr>
                <w:rFonts w:asciiTheme="minorEastAsia" w:hAnsiTheme="minorEastAsia" w:eastAsiaTheme="minorEastAsia"/>
                <w:sz w:val="24"/>
              </w:rPr>
              <w:t>10</w:t>
            </w:r>
            <w:r>
              <w:rPr>
                <w:rFonts w:hint="eastAsia" w:asciiTheme="minorEastAsia" w:hAnsiTheme="minorEastAsia" w:eastAsiaTheme="minorEastAsia"/>
                <w:sz w:val="24"/>
              </w:rPr>
              <w:t>分；</w:t>
            </w:r>
          </w:p>
          <w:p>
            <w:pPr>
              <w:spacing w:line="380" w:lineRule="exact"/>
              <w:rPr>
                <w:rFonts w:asciiTheme="minorEastAsia" w:hAnsiTheme="minorEastAsia" w:eastAsiaTheme="minorEastAsia"/>
                <w:sz w:val="24"/>
              </w:rPr>
            </w:pPr>
            <w:r>
              <w:rPr>
                <w:rFonts w:hint="eastAsia" w:asciiTheme="minorEastAsia" w:hAnsiTheme="minorEastAsia" w:eastAsiaTheme="minorEastAsia"/>
                <w:sz w:val="24"/>
              </w:rPr>
              <w:t>2.卫生安全保障计划措施、应急计划与预案、突发情况处理方案细致、针对性一般的</w:t>
            </w:r>
            <w:r>
              <w:rPr>
                <w:rFonts w:asciiTheme="minorEastAsia" w:hAnsiTheme="minorEastAsia" w:eastAsiaTheme="minorEastAsia"/>
                <w:sz w:val="24"/>
              </w:rPr>
              <w:t>6</w:t>
            </w:r>
            <w:r>
              <w:rPr>
                <w:rFonts w:hint="eastAsia" w:asciiTheme="minorEastAsia" w:hAnsiTheme="minorEastAsia" w:eastAsiaTheme="minorEastAsia"/>
                <w:sz w:val="24"/>
              </w:rPr>
              <w:t>分；</w:t>
            </w:r>
          </w:p>
          <w:p>
            <w:pPr>
              <w:pStyle w:val="36"/>
              <w:spacing w:before="0" w:after="0" w:line="380" w:lineRule="exact"/>
              <w:rPr>
                <w:rFonts w:asciiTheme="minorEastAsia" w:hAnsiTheme="minorEastAsia" w:eastAsiaTheme="minorEastAsia"/>
                <w:b w:val="0"/>
                <w:sz w:val="24"/>
                <w:szCs w:val="24"/>
              </w:rPr>
            </w:pPr>
            <w:r>
              <w:rPr>
                <w:rFonts w:hint="eastAsia" w:asciiTheme="minorEastAsia" w:hAnsiTheme="minorEastAsia" w:eastAsiaTheme="minorEastAsia"/>
                <w:b w:val="0"/>
                <w:sz w:val="24"/>
                <w:szCs w:val="24"/>
              </w:rPr>
              <w:t>3.卫生安全保障计划措施、应急计划与预案、突发情况处理方案一般的</w:t>
            </w:r>
            <w:r>
              <w:rPr>
                <w:rFonts w:asciiTheme="minorEastAsia" w:hAnsiTheme="minorEastAsia" w:eastAsiaTheme="minorEastAsia"/>
                <w:b w:val="0"/>
                <w:sz w:val="24"/>
                <w:szCs w:val="24"/>
              </w:rPr>
              <w:t>3</w:t>
            </w:r>
            <w:r>
              <w:rPr>
                <w:rFonts w:hint="eastAsia" w:asciiTheme="minorEastAsia" w:hAnsiTheme="minorEastAsia" w:eastAsiaTheme="minorEastAsia"/>
                <w:b w:val="0"/>
                <w:sz w:val="24"/>
                <w:szCs w:val="24"/>
              </w:rPr>
              <w:t>分；</w:t>
            </w:r>
          </w:p>
          <w:p>
            <w:pPr>
              <w:adjustRightInd w:val="0"/>
              <w:snapToGrid w:val="0"/>
              <w:spacing w:line="380" w:lineRule="exact"/>
              <w:jc w:val="left"/>
              <w:rPr>
                <w:rFonts w:ascii="宋体" w:hAnsi="宋体"/>
                <w:sz w:val="24"/>
              </w:rPr>
            </w:pPr>
            <w:r>
              <w:rPr>
                <w:rFonts w:hint="eastAsia" w:asciiTheme="minorEastAsia" w:hAnsiTheme="minorEastAsia" w:eastAsiaTheme="minorEastAsia"/>
                <w:sz w:val="24"/>
              </w:rPr>
              <w:t>4.其余不得分。</w:t>
            </w:r>
          </w:p>
        </w:tc>
        <w:tc>
          <w:tcPr>
            <w:tcW w:w="900" w:type="dxa"/>
            <w:vAlign w:val="center"/>
          </w:tcPr>
          <w:p>
            <w:pPr>
              <w:adjustRightInd w:val="0"/>
              <w:snapToGrid w:val="0"/>
              <w:spacing w:line="380" w:lineRule="exact"/>
              <w:jc w:val="center"/>
              <w:rPr>
                <w:rFonts w:ascii="宋体" w:hAnsi="宋体"/>
                <w:sz w:val="24"/>
              </w:rPr>
            </w:pPr>
            <w:r>
              <w:rPr>
                <w:rFonts w:hint="eastAsia" w:ascii="宋体" w:hAnsi="宋体"/>
                <w:sz w:val="24"/>
              </w:rPr>
              <w:t>10</w:t>
            </w:r>
          </w:p>
        </w:tc>
        <w:tc>
          <w:tcPr>
            <w:tcW w:w="734" w:type="dxa"/>
            <w:vAlign w:val="center"/>
          </w:tcPr>
          <w:p>
            <w:pPr>
              <w:adjustRightInd w:val="0"/>
              <w:snapToGrid w:val="0"/>
              <w:spacing w:line="380" w:lineRule="exact"/>
              <w:jc w:val="center"/>
              <w:rPr>
                <w:rFonts w:ascii="宋体" w:hAnsi="宋体"/>
                <w:sz w:val="24"/>
              </w:rPr>
            </w:pPr>
            <w:r>
              <w:rPr>
                <w:rFonts w:hint="eastAsia" w:ascii="宋体" w:hAnsi="宋体"/>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7" w:type="dxa"/>
            <w:vAlign w:val="center"/>
          </w:tcPr>
          <w:p>
            <w:pPr>
              <w:pStyle w:val="160"/>
              <w:numPr>
                <w:ilvl w:val="0"/>
                <w:numId w:val="11"/>
              </w:numPr>
              <w:adjustRightInd w:val="0"/>
              <w:snapToGrid w:val="0"/>
              <w:spacing w:line="380" w:lineRule="exact"/>
              <w:ind w:firstLineChars="0"/>
              <w:jc w:val="center"/>
              <w:rPr>
                <w:rFonts w:ascii="宋体" w:hAnsi="宋体"/>
                <w:sz w:val="24"/>
              </w:rPr>
            </w:pPr>
          </w:p>
        </w:tc>
        <w:tc>
          <w:tcPr>
            <w:tcW w:w="1223" w:type="dxa"/>
            <w:vAlign w:val="center"/>
          </w:tcPr>
          <w:p>
            <w:pPr>
              <w:pStyle w:val="51"/>
              <w:wordWrap w:val="0"/>
              <w:spacing w:before="0" w:beforeAutospacing="0" w:after="0" w:afterAutospacing="0" w:line="380" w:lineRule="exact"/>
              <w:jc w:val="center"/>
            </w:pPr>
            <w:r>
              <w:rPr>
                <w:rFonts w:hint="eastAsia"/>
              </w:rPr>
              <w:t>食品安全追溯能力</w:t>
            </w:r>
          </w:p>
        </w:tc>
        <w:tc>
          <w:tcPr>
            <w:tcW w:w="6312" w:type="dxa"/>
            <w:vAlign w:val="center"/>
          </w:tcPr>
          <w:p>
            <w:pPr>
              <w:spacing w:line="380" w:lineRule="exact"/>
              <w:rPr>
                <w:sz w:val="24"/>
              </w:rPr>
            </w:pPr>
            <w:r>
              <w:rPr>
                <w:rFonts w:hint="eastAsia"/>
                <w:sz w:val="24"/>
              </w:rPr>
              <w:t>1.提供食品安全追溯方案全面、科学、合理、针对性强的，得</w:t>
            </w:r>
            <w:r>
              <w:rPr>
                <w:sz w:val="24"/>
              </w:rPr>
              <w:t>5</w:t>
            </w:r>
            <w:r>
              <w:rPr>
                <w:rFonts w:hint="eastAsia"/>
                <w:sz w:val="24"/>
              </w:rPr>
              <w:t>分；</w:t>
            </w:r>
          </w:p>
          <w:p>
            <w:pPr>
              <w:spacing w:line="380" w:lineRule="exact"/>
              <w:rPr>
                <w:sz w:val="24"/>
              </w:rPr>
            </w:pPr>
            <w:r>
              <w:rPr>
                <w:rFonts w:hint="eastAsia"/>
                <w:sz w:val="24"/>
              </w:rPr>
              <w:t>2.提供食品安全追溯方案不够全面、不够科学、不够合理、针对性一般的的，得</w:t>
            </w:r>
            <w:r>
              <w:rPr>
                <w:sz w:val="24"/>
              </w:rPr>
              <w:t>3</w:t>
            </w:r>
            <w:r>
              <w:rPr>
                <w:rFonts w:hint="eastAsia"/>
                <w:sz w:val="24"/>
              </w:rPr>
              <w:t>分；</w:t>
            </w:r>
          </w:p>
          <w:p>
            <w:pPr>
              <w:pStyle w:val="51"/>
              <w:wordWrap w:val="0"/>
              <w:spacing w:before="0" w:beforeAutospacing="0" w:after="0" w:afterAutospacing="0" w:line="380" w:lineRule="exact"/>
              <w:rPr>
                <w:rFonts w:ascii="Times New Roman" w:hAnsi="Times New Roman"/>
                <w:kern w:val="2"/>
              </w:rPr>
            </w:pPr>
            <w:r>
              <w:rPr>
                <w:rFonts w:hint="eastAsia" w:ascii="Times New Roman" w:hAnsi="Times New Roman"/>
                <w:kern w:val="2"/>
              </w:rPr>
              <w:t>3.提供食品安全追溯方案差或不提供的得</w:t>
            </w:r>
            <w:r>
              <w:rPr>
                <w:rFonts w:ascii="Times New Roman" w:hAnsi="Times New Roman"/>
                <w:kern w:val="2"/>
              </w:rPr>
              <w:t>1</w:t>
            </w:r>
            <w:r>
              <w:rPr>
                <w:rFonts w:hint="eastAsia" w:ascii="Times New Roman" w:hAnsi="Times New Roman"/>
                <w:kern w:val="2"/>
              </w:rPr>
              <w:t>分。</w:t>
            </w:r>
          </w:p>
          <w:p>
            <w:pPr>
              <w:adjustRightInd w:val="0"/>
              <w:snapToGrid w:val="0"/>
              <w:spacing w:line="380" w:lineRule="exact"/>
              <w:jc w:val="left"/>
              <w:rPr>
                <w:rFonts w:ascii="宋体" w:hAnsi="宋体"/>
                <w:sz w:val="24"/>
              </w:rPr>
            </w:pPr>
            <w:r>
              <w:rPr>
                <w:rFonts w:hint="eastAsia" w:asciiTheme="minorEastAsia" w:hAnsiTheme="minorEastAsia" w:eastAsiaTheme="minorEastAsia"/>
                <w:bCs/>
                <w:sz w:val="24"/>
              </w:rPr>
              <w:t>4.其余不得分。</w:t>
            </w:r>
          </w:p>
        </w:tc>
        <w:tc>
          <w:tcPr>
            <w:tcW w:w="900" w:type="dxa"/>
            <w:vAlign w:val="center"/>
          </w:tcPr>
          <w:p>
            <w:pPr>
              <w:adjustRightInd w:val="0"/>
              <w:snapToGrid w:val="0"/>
              <w:spacing w:line="380" w:lineRule="exact"/>
              <w:jc w:val="center"/>
              <w:rPr>
                <w:rFonts w:ascii="宋体" w:hAnsi="宋体"/>
                <w:sz w:val="24"/>
              </w:rPr>
            </w:pPr>
            <w:r>
              <w:rPr>
                <w:rFonts w:hint="eastAsia" w:ascii="宋体" w:hAnsi="宋体"/>
                <w:sz w:val="24"/>
              </w:rPr>
              <w:t>5</w:t>
            </w:r>
          </w:p>
        </w:tc>
        <w:tc>
          <w:tcPr>
            <w:tcW w:w="734" w:type="dxa"/>
            <w:vAlign w:val="center"/>
          </w:tcPr>
          <w:p>
            <w:pPr>
              <w:adjustRightInd w:val="0"/>
              <w:snapToGrid w:val="0"/>
              <w:spacing w:line="380" w:lineRule="exact"/>
              <w:jc w:val="center"/>
              <w:rPr>
                <w:rFonts w:ascii="宋体" w:hAnsi="宋体"/>
                <w:sz w:val="24"/>
              </w:rPr>
            </w:pPr>
            <w:r>
              <w:rPr>
                <w:rFonts w:hint="eastAsia" w:ascii="宋体" w:hAnsi="宋体"/>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7" w:type="dxa"/>
            <w:vAlign w:val="center"/>
          </w:tcPr>
          <w:p>
            <w:pPr>
              <w:pStyle w:val="160"/>
              <w:numPr>
                <w:ilvl w:val="0"/>
                <w:numId w:val="11"/>
              </w:numPr>
              <w:adjustRightInd w:val="0"/>
              <w:snapToGrid w:val="0"/>
              <w:spacing w:line="380" w:lineRule="exact"/>
              <w:ind w:firstLineChars="0"/>
              <w:jc w:val="center"/>
              <w:rPr>
                <w:rFonts w:ascii="宋体" w:hAnsi="宋体"/>
                <w:sz w:val="24"/>
              </w:rPr>
            </w:pPr>
          </w:p>
        </w:tc>
        <w:tc>
          <w:tcPr>
            <w:tcW w:w="1223" w:type="dxa"/>
            <w:vAlign w:val="center"/>
          </w:tcPr>
          <w:p>
            <w:pPr>
              <w:pStyle w:val="51"/>
              <w:wordWrap w:val="0"/>
              <w:spacing w:before="0" w:beforeAutospacing="0" w:after="0" w:afterAutospacing="0" w:line="380" w:lineRule="exact"/>
              <w:jc w:val="center"/>
            </w:pPr>
            <w:r>
              <w:rPr>
                <w:rFonts w:hint="eastAsia"/>
              </w:rPr>
              <w:t>出现产品质量问题退换货方案</w:t>
            </w:r>
          </w:p>
        </w:tc>
        <w:tc>
          <w:tcPr>
            <w:tcW w:w="6312" w:type="dxa"/>
            <w:vAlign w:val="center"/>
          </w:tcPr>
          <w:p>
            <w:pPr>
              <w:pStyle w:val="51"/>
              <w:wordWrap w:val="0"/>
              <w:spacing w:before="0" w:beforeAutospacing="0" w:after="0" w:afterAutospacing="0" w:line="380" w:lineRule="exact"/>
            </w:pPr>
            <w:r>
              <w:rPr>
                <w:rFonts w:hint="eastAsia"/>
              </w:rPr>
              <w:t>根据投标人产品质量问题退换货方案（包括但不限于退换货流程、退换货便利性说明及响应时间承诺等）进行评审：</w:t>
            </w:r>
          </w:p>
          <w:p>
            <w:pPr>
              <w:pStyle w:val="51"/>
              <w:wordWrap w:val="0"/>
              <w:spacing w:before="0" w:beforeAutospacing="0" w:after="0" w:afterAutospacing="0" w:line="380" w:lineRule="exact"/>
            </w:pPr>
            <w:r>
              <w:rPr>
                <w:rFonts w:hint="eastAsia"/>
              </w:rPr>
              <w:t>1、退换货流程清晰，便利程度高，响应速度快，极具科学性、合理性，得</w:t>
            </w:r>
            <w:r>
              <w:t>10</w:t>
            </w:r>
            <w:r>
              <w:rPr>
                <w:rFonts w:hint="eastAsia"/>
              </w:rPr>
              <w:t>分；</w:t>
            </w:r>
          </w:p>
          <w:p>
            <w:pPr>
              <w:pStyle w:val="51"/>
              <w:wordWrap w:val="0"/>
              <w:spacing w:before="0" w:beforeAutospacing="0" w:after="0" w:afterAutospacing="0" w:line="380" w:lineRule="exact"/>
            </w:pPr>
            <w:r>
              <w:rPr>
                <w:rFonts w:hint="eastAsia"/>
              </w:rPr>
              <w:t>2、退换货流程较清晰，便利程度较高，响应速度较快，科学性、合理性较高，得</w:t>
            </w:r>
            <w:r>
              <w:t>6</w:t>
            </w:r>
            <w:r>
              <w:rPr>
                <w:rFonts w:hint="eastAsia"/>
              </w:rPr>
              <w:t>分；</w:t>
            </w:r>
          </w:p>
          <w:p>
            <w:pPr>
              <w:pStyle w:val="51"/>
              <w:wordWrap w:val="0"/>
              <w:spacing w:before="0" w:beforeAutospacing="0" w:after="0" w:afterAutospacing="0" w:line="380" w:lineRule="exact"/>
            </w:pPr>
            <w:r>
              <w:rPr>
                <w:rFonts w:hint="eastAsia"/>
              </w:rPr>
              <w:t>3、退换货流程基本清晰，便利程度一般，响应速度一般，有一定的科学性、合理性，得</w:t>
            </w:r>
            <w:r>
              <w:t>3</w:t>
            </w:r>
            <w:r>
              <w:rPr>
                <w:rFonts w:hint="eastAsia"/>
              </w:rPr>
              <w:t>分；</w:t>
            </w:r>
          </w:p>
          <w:p>
            <w:pPr>
              <w:pStyle w:val="51"/>
              <w:wordWrap w:val="0"/>
              <w:spacing w:before="0" w:beforeAutospacing="0" w:after="0" w:afterAutospacing="0" w:line="380" w:lineRule="exact"/>
            </w:pPr>
            <w:r>
              <w:rPr>
                <w:rFonts w:hint="eastAsia"/>
              </w:rPr>
              <w:t>4、退换货流程不够清晰，便利程度低，响应速度慢，科学性及合理性低，得</w:t>
            </w:r>
            <w:r>
              <w:t>1</w:t>
            </w:r>
            <w:r>
              <w:rPr>
                <w:rFonts w:hint="eastAsia"/>
              </w:rPr>
              <w:t>分；</w:t>
            </w:r>
          </w:p>
          <w:p>
            <w:pPr>
              <w:adjustRightInd w:val="0"/>
              <w:snapToGrid w:val="0"/>
              <w:spacing w:line="380" w:lineRule="exact"/>
              <w:jc w:val="left"/>
              <w:rPr>
                <w:rFonts w:ascii="宋体" w:hAnsi="宋体"/>
                <w:sz w:val="24"/>
              </w:rPr>
            </w:pPr>
            <w:r>
              <w:rPr>
                <w:rFonts w:hint="eastAsia"/>
                <w:sz w:val="24"/>
              </w:rPr>
              <w:t>5、其它或不提供不得分。</w:t>
            </w:r>
          </w:p>
        </w:tc>
        <w:tc>
          <w:tcPr>
            <w:tcW w:w="900" w:type="dxa"/>
            <w:vAlign w:val="center"/>
          </w:tcPr>
          <w:p>
            <w:pPr>
              <w:adjustRightInd w:val="0"/>
              <w:snapToGrid w:val="0"/>
              <w:spacing w:line="380" w:lineRule="exact"/>
              <w:jc w:val="center"/>
              <w:rPr>
                <w:rFonts w:ascii="宋体" w:hAnsi="宋体"/>
                <w:sz w:val="24"/>
              </w:rPr>
            </w:pPr>
            <w:r>
              <w:rPr>
                <w:rFonts w:hint="eastAsia" w:ascii="宋体" w:hAnsi="宋体"/>
                <w:sz w:val="24"/>
              </w:rPr>
              <w:t>10</w:t>
            </w:r>
          </w:p>
        </w:tc>
        <w:tc>
          <w:tcPr>
            <w:tcW w:w="734" w:type="dxa"/>
            <w:vAlign w:val="center"/>
          </w:tcPr>
          <w:p>
            <w:pPr>
              <w:adjustRightInd w:val="0"/>
              <w:snapToGrid w:val="0"/>
              <w:spacing w:line="380" w:lineRule="exact"/>
              <w:jc w:val="center"/>
              <w:rPr>
                <w:rFonts w:ascii="宋体" w:hAnsi="宋体"/>
                <w:sz w:val="24"/>
              </w:rPr>
            </w:pPr>
            <w:r>
              <w:rPr>
                <w:rFonts w:hint="eastAsia" w:ascii="宋体" w:hAnsi="宋体"/>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7" w:type="dxa"/>
            <w:tcBorders>
              <w:bottom w:val="single" w:color="auto" w:sz="4" w:space="0"/>
            </w:tcBorders>
            <w:vAlign w:val="center"/>
          </w:tcPr>
          <w:p>
            <w:pPr>
              <w:adjustRightInd w:val="0"/>
              <w:snapToGrid w:val="0"/>
              <w:spacing w:line="380" w:lineRule="exact"/>
              <w:jc w:val="center"/>
              <w:rPr>
                <w:rFonts w:ascii="宋体" w:hAnsi="宋体"/>
                <w:b/>
                <w:sz w:val="24"/>
              </w:rPr>
            </w:pPr>
            <w:r>
              <w:rPr>
                <w:rFonts w:hint="eastAsia" w:ascii="宋体" w:hAnsi="宋体"/>
                <w:b/>
                <w:sz w:val="24"/>
              </w:rPr>
              <w:t>二</w:t>
            </w:r>
          </w:p>
        </w:tc>
        <w:tc>
          <w:tcPr>
            <w:tcW w:w="9169" w:type="dxa"/>
            <w:gridSpan w:val="4"/>
            <w:vAlign w:val="center"/>
          </w:tcPr>
          <w:p>
            <w:pPr>
              <w:adjustRightInd w:val="0"/>
              <w:snapToGrid w:val="0"/>
              <w:spacing w:line="380" w:lineRule="exact"/>
              <w:jc w:val="center"/>
              <w:rPr>
                <w:rFonts w:ascii="宋体" w:hAnsi="宋体" w:cs="宋体"/>
                <w:b/>
                <w:sz w:val="24"/>
              </w:rPr>
            </w:pPr>
            <w:r>
              <w:rPr>
                <w:rFonts w:hint="eastAsia" w:ascii="宋体" w:hAnsi="宋体"/>
                <w:b/>
                <w:sz w:val="24"/>
              </w:rPr>
              <w:t>商务部分（合计20分）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38" w:hRule="atLeast"/>
          <w:jc w:val="center"/>
        </w:trPr>
        <w:tc>
          <w:tcPr>
            <w:tcW w:w="807" w:type="dxa"/>
            <w:vAlign w:val="center"/>
          </w:tcPr>
          <w:p>
            <w:pPr>
              <w:pStyle w:val="160"/>
              <w:numPr>
                <w:ilvl w:val="0"/>
                <w:numId w:val="12"/>
              </w:numPr>
              <w:adjustRightInd w:val="0"/>
              <w:snapToGrid w:val="0"/>
              <w:spacing w:line="380" w:lineRule="exact"/>
              <w:ind w:firstLineChars="0"/>
              <w:jc w:val="center"/>
              <w:rPr>
                <w:rFonts w:ascii="宋体" w:hAnsi="宋体"/>
                <w:sz w:val="24"/>
              </w:rPr>
            </w:pPr>
          </w:p>
        </w:tc>
        <w:tc>
          <w:tcPr>
            <w:tcW w:w="1223" w:type="dxa"/>
            <w:vAlign w:val="center"/>
          </w:tcPr>
          <w:p>
            <w:pPr>
              <w:adjustRightInd w:val="0"/>
              <w:snapToGrid w:val="0"/>
              <w:spacing w:line="380" w:lineRule="exact"/>
              <w:jc w:val="center"/>
              <w:rPr>
                <w:rFonts w:ascii="宋体" w:hAnsi="宋体"/>
                <w:sz w:val="24"/>
              </w:rPr>
            </w:pPr>
            <w:r>
              <w:rPr>
                <w:rFonts w:hint="eastAsia" w:ascii="宋体" w:hAnsi="宋体" w:cs="宋体"/>
                <w:kern w:val="0"/>
                <w:sz w:val="24"/>
              </w:rPr>
              <w:t>同类项目业绩</w:t>
            </w:r>
          </w:p>
        </w:tc>
        <w:tc>
          <w:tcPr>
            <w:tcW w:w="6312" w:type="dxa"/>
            <w:vAlign w:val="center"/>
          </w:tcPr>
          <w:p>
            <w:pPr>
              <w:spacing w:line="380" w:lineRule="exact"/>
              <w:rPr>
                <w:rFonts w:ascii="宋体" w:hAnsi="宋体"/>
                <w:sz w:val="24"/>
              </w:rPr>
            </w:pPr>
            <w:r>
              <w:rPr>
                <w:rFonts w:hint="eastAsia" w:ascii="宋体" w:hAnsi="宋体"/>
                <w:sz w:val="24"/>
              </w:rPr>
              <w:t>自2019年1月1日至投标截止时间止，投标人提供同类项目业绩，每提供1项得</w:t>
            </w:r>
            <w:r>
              <w:rPr>
                <w:rFonts w:ascii="宋体" w:hAnsi="宋体"/>
                <w:sz w:val="24"/>
              </w:rPr>
              <w:t>0.5</w:t>
            </w:r>
            <w:r>
              <w:rPr>
                <w:rFonts w:hint="eastAsia" w:ascii="宋体" w:hAnsi="宋体"/>
                <w:sz w:val="24"/>
              </w:rPr>
              <w:t>分，本项最高得</w:t>
            </w:r>
            <w:r>
              <w:rPr>
                <w:rFonts w:ascii="宋体" w:hAnsi="宋体"/>
                <w:sz w:val="24"/>
              </w:rPr>
              <w:t>2</w:t>
            </w:r>
            <w:r>
              <w:rPr>
                <w:rFonts w:hint="eastAsia" w:ascii="宋体" w:hAnsi="宋体"/>
                <w:sz w:val="24"/>
              </w:rPr>
              <w:t>分。</w:t>
            </w:r>
          </w:p>
          <w:p>
            <w:pPr>
              <w:spacing w:line="380" w:lineRule="exact"/>
              <w:rPr>
                <w:rFonts w:ascii="宋体" w:hAnsi="宋体"/>
                <w:sz w:val="24"/>
              </w:rPr>
            </w:pPr>
            <w:r>
              <w:rPr>
                <w:rFonts w:hint="eastAsia" w:ascii="宋体" w:hAnsi="宋体"/>
                <w:sz w:val="24"/>
              </w:rPr>
              <w:t>注：提供项目合同复印件或经营合作关系证明文件，否则不得分。</w:t>
            </w:r>
          </w:p>
        </w:tc>
        <w:tc>
          <w:tcPr>
            <w:tcW w:w="900" w:type="dxa"/>
            <w:vAlign w:val="center"/>
          </w:tcPr>
          <w:p>
            <w:pPr>
              <w:adjustRightInd w:val="0"/>
              <w:snapToGrid w:val="0"/>
              <w:spacing w:line="380" w:lineRule="exact"/>
              <w:jc w:val="center"/>
              <w:rPr>
                <w:rFonts w:ascii="宋体" w:hAnsi="宋体" w:cs="宋体"/>
                <w:sz w:val="24"/>
              </w:rPr>
            </w:pPr>
            <w:r>
              <w:rPr>
                <w:rFonts w:hint="eastAsia" w:ascii="宋体" w:hAnsi="宋体" w:cs="宋体"/>
                <w:sz w:val="24"/>
              </w:rPr>
              <w:t>2</w:t>
            </w:r>
          </w:p>
        </w:tc>
        <w:tc>
          <w:tcPr>
            <w:tcW w:w="734" w:type="dxa"/>
            <w:vAlign w:val="center"/>
          </w:tcPr>
          <w:p>
            <w:pPr>
              <w:adjustRightInd w:val="0"/>
              <w:snapToGrid w:val="0"/>
              <w:spacing w:line="380" w:lineRule="exact"/>
              <w:jc w:val="center"/>
              <w:rPr>
                <w:rFonts w:ascii="宋体" w:hAnsi="宋体" w:cs="宋体"/>
                <w:sz w:val="24"/>
              </w:rPr>
            </w:pPr>
            <w:r>
              <w:rPr>
                <w:rFonts w:hint="eastAsia" w:ascii="宋体" w:hAnsi="宋体" w:cs="宋体"/>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2" w:hRule="atLeast"/>
          <w:jc w:val="center"/>
        </w:trPr>
        <w:tc>
          <w:tcPr>
            <w:tcW w:w="807" w:type="dxa"/>
            <w:vAlign w:val="center"/>
          </w:tcPr>
          <w:p>
            <w:pPr>
              <w:pStyle w:val="160"/>
              <w:numPr>
                <w:ilvl w:val="0"/>
                <w:numId w:val="12"/>
              </w:numPr>
              <w:adjustRightInd w:val="0"/>
              <w:snapToGrid w:val="0"/>
              <w:spacing w:line="380" w:lineRule="exact"/>
              <w:ind w:firstLineChars="0"/>
              <w:jc w:val="center"/>
              <w:rPr>
                <w:rFonts w:ascii="宋体" w:hAnsi="宋体"/>
                <w:sz w:val="24"/>
              </w:rPr>
            </w:pPr>
          </w:p>
        </w:tc>
        <w:tc>
          <w:tcPr>
            <w:tcW w:w="1223" w:type="dxa"/>
            <w:vAlign w:val="center"/>
          </w:tcPr>
          <w:p>
            <w:pPr>
              <w:adjustRightInd w:val="0"/>
              <w:snapToGrid w:val="0"/>
              <w:spacing w:line="380" w:lineRule="exact"/>
              <w:jc w:val="center"/>
              <w:rPr>
                <w:rFonts w:hAnsi="宋体" w:cs="宋体"/>
                <w:sz w:val="24"/>
              </w:rPr>
            </w:pPr>
            <w:r>
              <w:rPr>
                <w:rFonts w:hint="eastAsia" w:ascii="宋体" w:hAnsi="宋体" w:cs="宋体"/>
                <w:kern w:val="0"/>
                <w:sz w:val="24"/>
              </w:rPr>
              <w:t>管理体系</w:t>
            </w:r>
          </w:p>
        </w:tc>
        <w:tc>
          <w:tcPr>
            <w:tcW w:w="6312" w:type="dxa"/>
            <w:vAlign w:val="center"/>
          </w:tcPr>
          <w:p>
            <w:pPr>
              <w:spacing w:line="380" w:lineRule="exact"/>
              <w:rPr>
                <w:rFonts w:ascii="宋体" w:hAnsi="宋体"/>
                <w:sz w:val="24"/>
              </w:rPr>
            </w:pPr>
            <w:r>
              <w:rPr>
                <w:rFonts w:hint="eastAsia" w:ascii="宋体" w:hAnsi="宋体"/>
                <w:sz w:val="24"/>
              </w:rPr>
              <w:t>质量管理体系认证证书；</w:t>
            </w:r>
          </w:p>
          <w:p>
            <w:pPr>
              <w:spacing w:line="380" w:lineRule="exact"/>
              <w:rPr>
                <w:rFonts w:ascii="宋体" w:hAnsi="宋体"/>
                <w:sz w:val="24"/>
              </w:rPr>
            </w:pPr>
            <w:r>
              <w:rPr>
                <w:rFonts w:hint="eastAsia" w:ascii="宋体" w:hAnsi="宋体"/>
                <w:sz w:val="24"/>
              </w:rPr>
              <w:t>环境管理体系认证证书；</w:t>
            </w:r>
          </w:p>
          <w:p>
            <w:pPr>
              <w:spacing w:line="380" w:lineRule="exact"/>
              <w:rPr>
                <w:rFonts w:ascii="宋体" w:hAnsi="宋体"/>
                <w:sz w:val="24"/>
              </w:rPr>
            </w:pPr>
            <w:r>
              <w:rPr>
                <w:rFonts w:hint="eastAsia" w:ascii="宋体" w:hAnsi="宋体"/>
                <w:sz w:val="24"/>
              </w:rPr>
              <w:t>职业健康安全管理体系认证证书；</w:t>
            </w:r>
          </w:p>
          <w:p>
            <w:pPr>
              <w:spacing w:line="380" w:lineRule="exact"/>
              <w:rPr>
                <w:rFonts w:ascii="宋体" w:hAnsi="宋体"/>
                <w:sz w:val="24"/>
              </w:rPr>
            </w:pPr>
            <w:r>
              <w:rPr>
                <w:rFonts w:hint="eastAsia" w:ascii="宋体" w:hAnsi="宋体"/>
                <w:sz w:val="24"/>
              </w:rPr>
              <w:t>每提供一项得2分。</w:t>
            </w:r>
          </w:p>
          <w:p>
            <w:pPr>
              <w:spacing w:line="380" w:lineRule="exact"/>
              <w:rPr>
                <w:rFonts w:ascii="宋体" w:hAnsi="宋体"/>
                <w:sz w:val="24"/>
              </w:rPr>
            </w:pPr>
            <w:r>
              <w:rPr>
                <w:rFonts w:hint="eastAsia" w:ascii="宋体" w:hAnsi="宋体"/>
                <w:sz w:val="24"/>
              </w:rPr>
              <w:t>注：提供证书复印件，否则不得分。</w:t>
            </w:r>
          </w:p>
        </w:tc>
        <w:tc>
          <w:tcPr>
            <w:tcW w:w="900" w:type="dxa"/>
            <w:vAlign w:val="center"/>
          </w:tcPr>
          <w:p>
            <w:pPr>
              <w:adjustRightInd w:val="0"/>
              <w:snapToGrid w:val="0"/>
              <w:spacing w:line="380" w:lineRule="exact"/>
              <w:jc w:val="center"/>
              <w:rPr>
                <w:rFonts w:ascii="宋体" w:hAnsi="宋体" w:cs="宋体"/>
                <w:sz w:val="24"/>
              </w:rPr>
            </w:pPr>
            <w:r>
              <w:rPr>
                <w:rFonts w:hint="eastAsia" w:ascii="宋体" w:hAnsi="宋体"/>
                <w:sz w:val="24"/>
              </w:rPr>
              <w:t>6</w:t>
            </w:r>
          </w:p>
        </w:tc>
        <w:tc>
          <w:tcPr>
            <w:tcW w:w="734" w:type="dxa"/>
            <w:vAlign w:val="center"/>
          </w:tcPr>
          <w:p>
            <w:pPr>
              <w:adjustRightInd w:val="0"/>
              <w:snapToGrid w:val="0"/>
              <w:spacing w:line="380" w:lineRule="exact"/>
              <w:jc w:val="center"/>
              <w:rPr>
                <w:rFonts w:ascii="宋体" w:hAnsi="宋体" w:cs="宋体"/>
                <w:sz w:val="24"/>
              </w:rPr>
            </w:pPr>
            <w:r>
              <w:rPr>
                <w:rFonts w:hint="eastAsia" w:ascii="宋体" w:hAnsi="宋体" w:cs="宋体"/>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9" w:hRule="atLeast"/>
          <w:jc w:val="center"/>
        </w:trPr>
        <w:tc>
          <w:tcPr>
            <w:tcW w:w="807" w:type="dxa"/>
            <w:vAlign w:val="center"/>
          </w:tcPr>
          <w:p>
            <w:pPr>
              <w:pStyle w:val="160"/>
              <w:numPr>
                <w:ilvl w:val="0"/>
                <w:numId w:val="12"/>
              </w:numPr>
              <w:adjustRightInd w:val="0"/>
              <w:snapToGrid w:val="0"/>
              <w:spacing w:line="380" w:lineRule="exact"/>
              <w:ind w:firstLineChars="0"/>
              <w:jc w:val="center"/>
              <w:rPr>
                <w:rFonts w:ascii="宋体" w:hAnsi="宋体"/>
                <w:sz w:val="24"/>
              </w:rPr>
            </w:pPr>
          </w:p>
        </w:tc>
        <w:tc>
          <w:tcPr>
            <w:tcW w:w="1223" w:type="dxa"/>
            <w:vAlign w:val="center"/>
          </w:tcPr>
          <w:p>
            <w:pPr>
              <w:adjustRightInd w:val="0"/>
              <w:snapToGrid w:val="0"/>
              <w:spacing w:line="380" w:lineRule="exact"/>
              <w:jc w:val="center"/>
              <w:rPr>
                <w:rFonts w:hAnsi="宋体" w:cs="宋体"/>
                <w:sz w:val="24"/>
              </w:rPr>
            </w:pPr>
            <w:r>
              <w:rPr>
                <w:rFonts w:hint="eastAsia" w:hAnsi="宋体" w:cs="宋体"/>
                <w:sz w:val="24"/>
              </w:rPr>
              <w:t>输送车辆</w:t>
            </w:r>
          </w:p>
        </w:tc>
        <w:tc>
          <w:tcPr>
            <w:tcW w:w="6312" w:type="dxa"/>
            <w:vAlign w:val="center"/>
          </w:tcPr>
          <w:p>
            <w:pPr>
              <w:spacing w:line="380" w:lineRule="exact"/>
              <w:rPr>
                <w:rFonts w:ascii="宋体" w:hAnsi="宋体"/>
                <w:sz w:val="24"/>
              </w:rPr>
            </w:pPr>
            <w:r>
              <w:rPr>
                <w:rFonts w:hint="eastAsia" w:ascii="宋体" w:hAnsi="宋体"/>
                <w:sz w:val="24"/>
              </w:rPr>
              <w:t>根据各投标人提供输送车辆进行评分，每提供一辆得1.5分，满分得3分。</w:t>
            </w:r>
          </w:p>
          <w:p>
            <w:pPr>
              <w:widowControl/>
              <w:spacing w:line="380" w:lineRule="exact"/>
              <w:rPr>
                <w:rFonts w:hAnsi="宋体" w:cs="宋体"/>
                <w:sz w:val="24"/>
              </w:rPr>
            </w:pPr>
            <w:r>
              <w:rPr>
                <w:rFonts w:hint="eastAsia" w:ascii="宋体" w:hAnsi="宋体"/>
                <w:sz w:val="24"/>
              </w:rPr>
              <w:t>注：自有车辆的须提供车辆行驶证复印件、外聘车辆的须提供租赁合同及车辆行驶证复印件，否则不得分。</w:t>
            </w:r>
          </w:p>
        </w:tc>
        <w:tc>
          <w:tcPr>
            <w:tcW w:w="900" w:type="dxa"/>
            <w:vAlign w:val="center"/>
          </w:tcPr>
          <w:p>
            <w:pPr>
              <w:adjustRightInd w:val="0"/>
              <w:snapToGrid w:val="0"/>
              <w:spacing w:line="380" w:lineRule="exact"/>
              <w:jc w:val="center"/>
              <w:rPr>
                <w:rFonts w:hAnsi="宋体"/>
                <w:sz w:val="24"/>
              </w:rPr>
            </w:pPr>
            <w:r>
              <w:rPr>
                <w:rFonts w:hint="eastAsia" w:ascii="宋体" w:hAnsi="宋体"/>
                <w:sz w:val="24"/>
              </w:rPr>
              <w:t>3</w:t>
            </w:r>
          </w:p>
        </w:tc>
        <w:tc>
          <w:tcPr>
            <w:tcW w:w="734" w:type="dxa"/>
            <w:vAlign w:val="center"/>
          </w:tcPr>
          <w:p>
            <w:pPr>
              <w:adjustRightInd w:val="0"/>
              <w:snapToGrid w:val="0"/>
              <w:spacing w:line="380" w:lineRule="exact"/>
              <w:jc w:val="center"/>
              <w:rPr>
                <w:rFonts w:hAnsi="宋体"/>
                <w:sz w:val="24"/>
              </w:rPr>
            </w:pPr>
            <w:r>
              <w:rPr>
                <w:rFonts w:hint="eastAsia" w:ascii="宋体" w:hAnsi="宋体" w:cs="宋体"/>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9" w:hRule="atLeast"/>
          <w:jc w:val="center"/>
        </w:trPr>
        <w:tc>
          <w:tcPr>
            <w:tcW w:w="807" w:type="dxa"/>
            <w:vAlign w:val="center"/>
          </w:tcPr>
          <w:p>
            <w:pPr>
              <w:pStyle w:val="160"/>
              <w:numPr>
                <w:ilvl w:val="0"/>
                <w:numId w:val="12"/>
              </w:numPr>
              <w:adjustRightInd w:val="0"/>
              <w:snapToGrid w:val="0"/>
              <w:spacing w:line="380" w:lineRule="exact"/>
              <w:ind w:firstLineChars="0"/>
              <w:jc w:val="center"/>
              <w:rPr>
                <w:rFonts w:ascii="宋体" w:hAnsi="宋体"/>
                <w:sz w:val="24"/>
              </w:rPr>
            </w:pPr>
          </w:p>
        </w:tc>
        <w:tc>
          <w:tcPr>
            <w:tcW w:w="1223" w:type="dxa"/>
            <w:vAlign w:val="center"/>
          </w:tcPr>
          <w:p>
            <w:pPr>
              <w:adjustRightInd w:val="0"/>
              <w:snapToGrid w:val="0"/>
              <w:spacing w:line="380" w:lineRule="exact"/>
              <w:jc w:val="center"/>
              <w:rPr>
                <w:rFonts w:ascii="宋体" w:hAnsi="宋体" w:cs="宋体"/>
                <w:kern w:val="0"/>
                <w:sz w:val="24"/>
              </w:rPr>
            </w:pPr>
            <w:r>
              <w:rPr>
                <w:rFonts w:hint="eastAsia" w:ascii="宋体" w:hAnsi="宋体"/>
                <w:sz w:val="24"/>
              </w:rPr>
              <w:t>冷冻/冷藏库</w:t>
            </w:r>
          </w:p>
        </w:tc>
        <w:tc>
          <w:tcPr>
            <w:tcW w:w="6312" w:type="dxa"/>
            <w:vAlign w:val="center"/>
          </w:tcPr>
          <w:p>
            <w:pPr>
              <w:spacing w:line="380" w:lineRule="exact"/>
              <w:rPr>
                <w:rFonts w:ascii="宋体" w:hAnsi="宋体"/>
                <w:sz w:val="24"/>
              </w:rPr>
            </w:pPr>
            <w:r>
              <w:rPr>
                <w:rFonts w:hint="eastAsia" w:ascii="宋体" w:hAnsi="宋体"/>
                <w:sz w:val="24"/>
              </w:rPr>
              <w:t>投标人具备自有（或租赁）冷冻/冷藏库的，得4分。</w:t>
            </w:r>
          </w:p>
          <w:p>
            <w:pPr>
              <w:spacing w:line="380" w:lineRule="exact"/>
              <w:rPr>
                <w:rFonts w:ascii="宋体" w:hAnsi="宋体"/>
                <w:sz w:val="24"/>
              </w:rPr>
            </w:pPr>
            <w:r>
              <w:rPr>
                <w:rFonts w:hint="eastAsia" w:ascii="宋体" w:hAnsi="宋体"/>
                <w:sz w:val="24"/>
              </w:rPr>
              <w:t>注：1.冷冻/冷藏库属于自有的，须提供冷冻/冷藏库工程合同复印件，否则不得分；</w:t>
            </w:r>
          </w:p>
          <w:p>
            <w:pPr>
              <w:widowControl/>
              <w:spacing w:line="380" w:lineRule="exact"/>
              <w:rPr>
                <w:rFonts w:ascii="宋体" w:hAnsi="宋体" w:cs="宋体"/>
                <w:kern w:val="0"/>
                <w:sz w:val="24"/>
              </w:rPr>
            </w:pPr>
            <w:r>
              <w:rPr>
                <w:rFonts w:hint="eastAsia" w:ascii="宋体" w:hAnsi="宋体"/>
                <w:sz w:val="24"/>
              </w:rPr>
              <w:t>2.冷冻/冷藏库属于租赁的，提供冷冻/冷藏库租赁合同复印件（租赁合同须以投标人公司名义或投标人公司法人代表个人名义签订的方为有效），否则不得分。</w:t>
            </w:r>
          </w:p>
        </w:tc>
        <w:tc>
          <w:tcPr>
            <w:tcW w:w="900" w:type="dxa"/>
            <w:vAlign w:val="center"/>
          </w:tcPr>
          <w:p>
            <w:pPr>
              <w:adjustRightInd w:val="0"/>
              <w:snapToGrid w:val="0"/>
              <w:spacing w:line="380" w:lineRule="exact"/>
              <w:jc w:val="center"/>
              <w:rPr>
                <w:rFonts w:ascii="宋体" w:hAnsi="宋体"/>
                <w:sz w:val="24"/>
              </w:rPr>
            </w:pPr>
            <w:r>
              <w:rPr>
                <w:rFonts w:hint="eastAsia" w:ascii="宋体" w:hAnsi="宋体"/>
                <w:sz w:val="24"/>
              </w:rPr>
              <w:t>4</w:t>
            </w:r>
          </w:p>
        </w:tc>
        <w:tc>
          <w:tcPr>
            <w:tcW w:w="734" w:type="dxa"/>
            <w:vAlign w:val="center"/>
          </w:tcPr>
          <w:p>
            <w:pPr>
              <w:adjustRightInd w:val="0"/>
              <w:snapToGrid w:val="0"/>
              <w:spacing w:line="380" w:lineRule="exact"/>
              <w:jc w:val="center"/>
              <w:rPr>
                <w:rFonts w:ascii="宋体" w:hAnsi="宋体" w:cs="宋体"/>
                <w:sz w:val="24"/>
              </w:rPr>
            </w:pPr>
            <w:r>
              <w:rPr>
                <w:rFonts w:hint="eastAsia" w:ascii="宋体" w:hAnsi="宋体" w:cs="宋体"/>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3" w:hRule="atLeast"/>
          <w:jc w:val="center"/>
        </w:trPr>
        <w:tc>
          <w:tcPr>
            <w:tcW w:w="807" w:type="dxa"/>
            <w:vAlign w:val="center"/>
          </w:tcPr>
          <w:p>
            <w:pPr>
              <w:pStyle w:val="160"/>
              <w:numPr>
                <w:ilvl w:val="0"/>
                <w:numId w:val="12"/>
              </w:numPr>
              <w:adjustRightInd w:val="0"/>
              <w:snapToGrid w:val="0"/>
              <w:spacing w:line="380" w:lineRule="exact"/>
              <w:ind w:firstLineChars="0"/>
              <w:jc w:val="center"/>
              <w:rPr>
                <w:rFonts w:ascii="宋体" w:hAnsi="宋体"/>
                <w:sz w:val="24"/>
              </w:rPr>
            </w:pPr>
          </w:p>
        </w:tc>
        <w:tc>
          <w:tcPr>
            <w:tcW w:w="1223" w:type="dxa"/>
            <w:vAlign w:val="center"/>
          </w:tcPr>
          <w:p>
            <w:pPr>
              <w:adjustRightInd w:val="0"/>
              <w:snapToGrid w:val="0"/>
              <w:spacing w:line="380" w:lineRule="exact"/>
              <w:jc w:val="center"/>
              <w:rPr>
                <w:rFonts w:ascii="宋体" w:hAnsi="宋体"/>
                <w:sz w:val="24"/>
              </w:rPr>
            </w:pPr>
            <w:r>
              <w:rPr>
                <w:rFonts w:hint="eastAsia" w:ascii="宋体" w:hAnsi="宋体"/>
                <w:sz w:val="24"/>
              </w:rPr>
              <w:t>供应能力</w:t>
            </w:r>
          </w:p>
        </w:tc>
        <w:tc>
          <w:tcPr>
            <w:tcW w:w="6312" w:type="dxa"/>
            <w:vAlign w:val="center"/>
          </w:tcPr>
          <w:p>
            <w:pPr>
              <w:spacing w:line="380" w:lineRule="exact"/>
              <w:rPr>
                <w:rFonts w:ascii="宋体" w:hAnsi="宋体"/>
                <w:sz w:val="24"/>
              </w:rPr>
            </w:pPr>
            <w:r>
              <w:rPr>
                <w:rFonts w:hint="eastAsia" w:ascii="宋体" w:hAnsi="宋体"/>
                <w:sz w:val="24"/>
              </w:rPr>
              <w:t>投标人具备自有（或合作）生产基地累计达500亩，得3分。每累计增加500亩加1分，本项最高5分。</w:t>
            </w:r>
          </w:p>
          <w:p>
            <w:pPr>
              <w:pStyle w:val="21"/>
              <w:spacing w:line="380" w:lineRule="exact"/>
              <w:rPr>
                <w:rFonts w:ascii="宋体" w:hAnsi="宋体"/>
                <w:sz w:val="24"/>
              </w:rPr>
            </w:pPr>
            <w:r>
              <w:rPr>
                <w:rFonts w:hint="eastAsia" w:ascii="宋体" w:hAnsi="宋体"/>
                <w:sz w:val="24"/>
              </w:rPr>
              <w:t>注：提供土地租赁合同复印件和租金发票，合作生产基地还应提供相应的合作合同等相关资料，上述资料若不能体现评审要素的，还应提供其他能体现评审要素的证明资料，否则不得分。</w:t>
            </w:r>
          </w:p>
        </w:tc>
        <w:tc>
          <w:tcPr>
            <w:tcW w:w="900" w:type="dxa"/>
            <w:vAlign w:val="center"/>
          </w:tcPr>
          <w:p>
            <w:pPr>
              <w:adjustRightInd w:val="0"/>
              <w:snapToGrid w:val="0"/>
              <w:spacing w:line="380" w:lineRule="exact"/>
              <w:jc w:val="center"/>
              <w:rPr>
                <w:rFonts w:ascii="宋体" w:hAnsi="宋体"/>
                <w:sz w:val="24"/>
              </w:rPr>
            </w:pPr>
            <w:r>
              <w:rPr>
                <w:rFonts w:hint="eastAsia" w:ascii="宋体" w:hAnsi="宋体"/>
                <w:sz w:val="24"/>
              </w:rPr>
              <w:t>5</w:t>
            </w:r>
          </w:p>
        </w:tc>
        <w:tc>
          <w:tcPr>
            <w:tcW w:w="734" w:type="dxa"/>
            <w:vAlign w:val="center"/>
          </w:tcPr>
          <w:p>
            <w:pPr>
              <w:adjustRightInd w:val="0"/>
              <w:snapToGrid w:val="0"/>
              <w:spacing w:line="380" w:lineRule="exact"/>
              <w:jc w:val="center"/>
              <w:rPr>
                <w:rFonts w:ascii="宋体" w:hAnsi="宋体" w:cs="宋体"/>
                <w:sz w:val="24"/>
              </w:rPr>
            </w:pPr>
            <w:r>
              <w:rPr>
                <w:rFonts w:hint="eastAsia" w:ascii="宋体" w:hAnsi="宋体" w:cs="宋体"/>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7" w:type="dxa"/>
            <w:vAlign w:val="center"/>
          </w:tcPr>
          <w:p>
            <w:pPr>
              <w:adjustRightInd w:val="0"/>
              <w:snapToGrid w:val="0"/>
              <w:spacing w:line="380" w:lineRule="exact"/>
              <w:jc w:val="center"/>
              <w:rPr>
                <w:rFonts w:ascii="宋体" w:hAnsi="宋体"/>
                <w:sz w:val="24"/>
              </w:rPr>
            </w:pPr>
            <w:r>
              <w:rPr>
                <w:rFonts w:hint="eastAsia" w:ascii="宋体" w:hAnsi="宋体"/>
                <w:sz w:val="24"/>
              </w:rPr>
              <w:t>三</w:t>
            </w:r>
          </w:p>
        </w:tc>
        <w:tc>
          <w:tcPr>
            <w:tcW w:w="9169" w:type="dxa"/>
            <w:gridSpan w:val="4"/>
            <w:vAlign w:val="center"/>
          </w:tcPr>
          <w:p>
            <w:pPr>
              <w:adjustRightInd w:val="0"/>
              <w:snapToGrid w:val="0"/>
              <w:spacing w:line="380" w:lineRule="exact"/>
              <w:jc w:val="center"/>
              <w:rPr>
                <w:rFonts w:ascii="宋体" w:hAnsi="宋体"/>
                <w:b/>
                <w:sz w:val="24"/>
              </w:rPr>
            </w:pPr>
            <w:r>
              <w:rPr>
                <w:rFonts w:hint="eastAsia" w:ascii="宋体" w:hAnsi="宋体"/>
                <w:b/>
                <w:sz w:val="24"/>
              </w:rPr>
              <w:t>价格部分（合计</w:t>
            </w:r>
            <w:r>
              <w:rPr>
                <w:rFonts w:ascii="宋体" w:hAnsi="宋体"/>
                <w:b/>
                <w:sz w:val="24"/>
              </w:rPr>
              <w:t>30</w:t>
            </w:r>
            <w:r>
              <w:rPr>
                <w:rFonts w:hint="eastAsia" w:ascii="宋体" w:hAnsi="宋体"/>
                <w:b/>
                <w:sz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30" w:hRule="atLeast"/>
          <w:jc w:val="center"/>
        </w:trPr>
        <w:tc>
          <w:tcPr>
            <w:tcW w:w="807" w:type="dxa"/>
            <w:vAlign w:val="center"/>
          </w:tcPr>
          <w:p>
            <w:pPr>
              <w:pStyle w:val="160"/>
              <w:numPr>
                <w:ilvl w:val="0"/>
                <w:numId w:val="13"/>
              </w:numPr>
              <w:adjustRightInd w:val="0"/>
              <w:snapToGrid w:val="0"/>
              <w:spacing w:line="380" w:lineRule="exact"/>
              <w:ind w:firstLineChars="0"/>
              <w:jc w:val="center"/>
              <w:rPr>
                <w:rFonts w:ascii="宋体" w:hAnsi="宋体"/>
                <w:sz w:val="24"/>
              </w:rPr>
            </w:pPr>
          </w:p>
        </w:tc>
        <w:tc>
          <w:tcPr>
            <w:tcW w:w="1223" w:type="dxa"/>
            <w:vAlign w:val="center"/>
          </w:tcPr>
          <w:p>
            <w:pPr>
              <w:adjustRightInd w:val="0"/>
              <w:snapToGrid w:val="0"/>
              <w:spacing w:line="380" w:lineRule="exact"/>
              <w:jc w:val="center"/>
              <w:rPr>
                <w:rFonts w:ascii="宋体" w:hAnsi="宋体"/>
                <w:sz w:val="24"/>
              </w:rPr>
            </w:pPr>
            <w:r>
              <w:rPr>
                <w:rFonts w:hint="eastAsia" w:ascii="宋体" w:hAnsi="宋体"/>
                <w:sz w:val="24"/>
              </w:rPr>
              <w:t>投标报价</w:t>
            </w:r>
          </w:p>
        </w:tc>
        <w:tc>
          <w:tcPr>
            <w:tcW w:w="6312" w:type="dxa"/>
            <w:vAlign w:val="center"/>
          </w:tcPr>
          <w:p>
            <w:pPr>
              <w:autoSpaceDE w:val="0"/>
              <w:autoSpaceDN w:val="0"/>
              <w:adjustRightInd w:val="0"/>
              <w:snapToGrid w:val="0"/>
              <w:spacing w:line="380" w:lineRule="exact"/>
              <w:rPr>
                <w:rFonts w:ascii="宋体" w:hAnsi="宋体" w:cs="宋体"/>
                <w:kern w:val="0"/>
                <w:sz w:val="24"/>
              </w:rPr>
            </w:pPr>
            <w:r>
              <w:rPr>
                <w:rFonts w:hint="eastAsia" w:ascii="宋体" w:hAnsi="宋体" w:cs="宋体"/>
                <w:kern w:val="0"/>
                <w:sz w:val="24"/>
              </w:rPr>
              <w:t>价格分应当采用低价优先法计算，即满足招标文件要求且投标价格最低的总投标报价为评标基准价，其价格分为满分。价格分统一按照下列公式计算：</w:t>
            </w:r>
          </w:p>
          <w:p>
            <w:pPr>
              <w:widowControl/>
              <w:adjustRightInd w:val="0"/>
              <w:snapToGrid w:val="0"/>
              <w:spacing w:line="380" w:lineRule="exact"/>
              <w:jc w:val="left"/>
              <w:rPr>
                <w:rFonts w:ascii="宋体" w:hAnsi="宋体"/>
                <w:bCs/>
                <w:sz w:val="24"/>
              </w:rPr>
            </w:pPr>
            <w:r>
              <w:rPr>
                <w:rFonts w:hint="eastAsia" w:ascii="宋体" w:hAnsi="宋体" w:cs="宋体"/>
                <w:kern w:val="0"/>
                <w:sz w:val="24"/>
              </w:rPr>
              <w:t>价格评分=（评标基准价／评标价）×30</w:t>
            </w:r>
          </w:p>
          <w:p>
            <w:pPr>
              <w:widowControl/>
              <w:adjustRightInd w:val="0"/>
              <w:snapToGrid w:val="0"/>
              <w:spacing w:line="380" w:lineRule="exact"/>
              <w:jc w:val="left"/>
              <w:rPr>
                <w:rFonts w:ascii="宋体" w:hAnsi="宋体"/>
                <w:bCs/>
                <w:sz w:val="24"/>
              </w:rPr>
            </w:pPr>
            <w:r>
              <w:rPr>
                <w:rFonts w:hint="eastAsia" w:ascii="宋体" w:hAnsi="宋体"/>
                <w:bCs/>
                <w:sz w:val="24"/>
              </w:rPr>
              <w:t>备注：</w:t>
            </w:r>
          </w:p>
          <w:p>
            <w:pPr>
              <w:pStyle w:val="160"/>
              <w:widowControl/>
              <w:numPr>
                <w:ilvl w:val="0"/>
                <w:numId w:val="14"/>
              </w:numPr>
              <w:adjustRightInd w:val="0"/>
              <w:snapToGrid w:val="0"/>
              <w:spacing w:line="380" w:lineRule="exact"/>
              <w:ind w:left="0" w:firstLineChars="0"/>
              <w:jc w:val="left"/>
              <w:rPr>
                <w:rFonts w:ascii="宋体" w:hAnsi="宋体" w:cs="宋体"/>
                <w:sz w:val="24"/>
              </w:rPr>
            </w:pPr>
            <w:r>
              <w:rPr>
                <w:rFonts w:hint="eastAsia" w:ascii="宋体" w:hAnsi="宋体"/>
                <w:bCs/>
                <w:sz w:val="24"/>
              </w:rPr>
              <w:t>因落实采购政策进行价格调整的，以调整后的价格计算评标基准价和投标报价</w:t>
            </w:r>
            <w:r>
              <w:rPr>
                <w:rFonts w:hint="eastAsia" w:ascii="宋体" w:hAnsi="宋体" w:cs="宋体"/>
                <w:sz w:val="24"/>
              </w:rPr>
              <w:t>,详见《价格扣除》。</w:t>
            </w:r>
          </w:p>
          <w:p>
            <w:pPr>
              <w:pStyle w:val="160"/>
              <w:numPr>
                <w:ilvl w:val="0"/>
                <w:numId w:val="14"/>
              </w:numPr>
              <w:adjustRightInd w:val="0"/>
              <w:snapToGrid w:val="0"/>
              <w:spacing w:line="380" w:lineRule="exact"/>
              <w:ind w:left="0" w:firstLineChars="0"/>
              <w:rPr>
                <w:rFonts w:ascii="宋体" w:hAnsi="宋体"/>
                <w:bCs/>
                <w:sz w:val="24"/>
              </w:rPr>
            </w:pPr>
            <w:r>
              <w:rPr>
                <w:rFonts w:hint="eastAsia" w:ascii="宋体" w:hAnsi="宋体"/>
                <w:bCs/>
                <w:sz w:val="24"/>
              </w:rPr>
              <w:t>投标报价得分四舍五入后，</w:t>
            </w:r>
            <w:r>
              <w:rPr>
                <w:rFonts w:hint="eastAsia" w:ascii="宋体" w:hAnsi="宋体" w:cs="Arial"/>
                <w:sz w:val="24"/>
              </w:rPr>
              <w:t>小数点后保留两位有效数</w:t>
            </w:r>
            <w:r>
              <w:rPr>
                <w:rFonts w:hint="eastAsia" w:ascii="宋体" w:hAnsi="宋体"/>
                <w:sz w:val="24"/>
              </w:rPr>
              <w:t>。</w:t>
            </w:r>
          </w:p>
        </w:tc>
        <w:tc>
          <w:tcPr>
            <w:tcW w:w="900" w:type="dxa"/>
            <w:vAlign w:val="center"/>
          </w:tcPr>
          <w:p>
            <w:pPr>
              <w:adjustRightInd w:val="0"/>
              <w:snapToGrid w:val="0"/>
              <w:spacing w:line="380" w:lineRule="exact"/>
              <w:jc w:val="center"/>
              <w:rPr>
                <w:rFonts w:ascii="宋体" w:hAnsi="宋体" w:cs="宋体"/>
                <w:sz w:val="24"/>
              </w:rPr>
            </w:pPr>
            <w:r>
              <w:rPr>
                <w:rFonts w:ascii="宋体" w:hAnsi="宋体" w:cs="宋体"/>
                <w:sz w:val="24"/>
              </w:rPr>
              <w:t>30</w:t>
            </w:r>
          </w:p>
        </w:tc>
        <w:tc>
          <w:tcPr>
            <w:tcW w:w="734" w:type="dxa"/>
            <w:vAlign w:val="center"/>
          </w:tcPr>
          <w:p>
            <w:pPr>
              <w:adjustRightInd w:val="0"/>
              <w:snapToGrid w:val="0"/>
              <w:spacing w:line="380" w:lineRule="exact"/>
              <w:jc w:val="center"/>
              <w:rPr>
                <w:rFonts w:ascii="宋体" w:hAnsi="宋体" w:cs="宋体"/>
                <w:sz w:val="24"/>
              </w:rPr>
            </w:pPr>
            <w:r>
              <w:rPr>
                <w:rFonts w:ascii="宋体" w:hAnsi="宋体" w:cs="宋体"/>
                <w:sz w:val="24"/>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42" w:type="dxa"/>
            <w:gridSpan w:val="3"/>
            <w:vAlign w:val="center"/>
          </w:tcPr>
          <w:p>
            <w:pPr>
              <w:adjustRightInd w:val="0"/>
              <w:snapToGrid w:val="0"/>
              <w:spacing w:line="380" w:lineRule="exact"/>
              <w:jc w:val="center"/>
              <w:rPr>
                <w:rFonts w:ascii="宋体" w:hAnsi="宋体" w:cs="宋体"/>
                <w:b/>
                <w:sz w:val="24"/>
                <w:u w:val="single"/>
              </w:rPr>
            </w:pPr>
            <w:r>
              <w:rPr>
                <w:rFonts w:hint="eastAsia" w:ascii="宋体" w:hAnsi="宋体"/>
                <w:b/>
                <w:sz w:val="24"/>
                <w:u w:val="single"/>
              </w:rPr>
              <w:t>合计</w:t>
            </w:r>
          </w:p>
        </w:tc>
        <w:tc>
          <w:tcPr>
            <w:tcW w:w="900" w:type="dxa"/>
            <w:vAlign w:val="center"/>
          </w:tcPr>
          <w:p>
            <w:pPr>
              <w:adjustRightInd w:val="0"/>
              <w:snapToGrid w:val="0"/>
              <w:spacing w:line="380" w:lineRule="exact"/>
              <w:jc w:val="center"/>
              <w:rPr>
                <w:rFonts w:ascii="宋体" w:hAnsi="宋体" w:cs="宋体"/>
                <w:b/>
                <w:sz w:val="24"/>
              </w:rPr>
            </w:pPr>
            <w:r>
              <w:rPr>
                <w:rFonts w:hint="eastAsia" w:ascii="宋体" w:hAnsi="宋体" w:cs="宋体"/>
                <w:b/>
                <w:sz w:val="24"/>
              </w:rPr>
              <w:t xml:space="preserve">100 </w:t>
            </w:r>
          </w:p>
        </w:tc>
        <w:tc>
          <w:tcPr>
            <w:tcW w:w="734" w:type="dxa"/>
            <w:vAlign w:val="center"/>
          </w:tcPr>
          <w:p>
            <w:pPr>
              <w:adjustRightInd w:val="0"/>
              <w:snapToGrid w:val="0"/>
              <w:spacing w:line="380" w:lineRule="exact"/>
              <w:jc w:val="center"/>
              <w:rPr>
                <w:rFonts w:ascii="宋体" w:hAnsi="宋体" w:cs="宋体"/>
                <w:b/>
                <w:sz w:val="24"/>
              </w:rPr>
            </w:pPr>
            <w:r>
              <w:rPr>
                <w:rFonts w:hint="eastAsia" w:ascii="宋体" w:hAnsi="宋体" w:cs="宋体"/>
                <w:b/>
                <w:sz w:val="24"/>
              </w:rPr>
              <w:t>100</w:t>
            </w:r>
          </w:p>
        </w:tc>
      </w:tr>
      <w:bookmarkEnd w:id="26"/>
    </w:tbl>
    <w:p>
      <w:pPr>
        <w:widowControl/>
        <w:jc w:val="left"/>
      </w:pPr>
      <w:bookmarkStart w:id="28" w:name="_Toc435514848"/>
    </w:p>
    <w:bookmarkEnd w:id="28"/>
    <w:p>
      <w:pPr>
        <w:widowControl/>
        <w:spacing w:line="360" w:lineRule="auto"/>
        <w:jc w:val="center"/>
        <w:outlineLvl w:val="0"/>
        <w:rPr>
          <w:rFonts w:hint="eastAsia"/>
          <w:b/>
          <w:bCs/>
          <w:sz w:val="28"/>
          <w:szCs w:val="28"/>
        </w:rPr>
        <w:sectPr>
          <w:footerReference r:id="rId11" w:type="default"/>
          <w:pgSz w:w="11906" w:h="16838"/>
          <w:pgMar w:top="1440" w:right="1286" w:bottom="1440" w:left="1440" w:header="851" w:footer="992" w:gutter="0"/>
          <w:cols w:space="720" w:num="1"/>
          <w:docGrid w:type="lines" w:linePitch="312" w:charSpace="0"/>
        </w:sectPr>
      </w:pPr>
      <w:bookmarkStart w:id="29" w:name="_Toc15502"/>
    </w:p>
    <w:p>
      <w:pPr>
        <w:widowControl/>
        <w:spacing w:line="360" w:lineRule="auto"/>
        <w:jc w:val="center"/>
        <w:outlineLvl w:val="0"/>
        <w:rPr>
          <w:b/>
          <w:bCs/>
          <w:sz w:val="28"/>
          <w:szCs w:val="28"/>
        </w:rPr>
      </w:pPr>
      <w:r>
        <w:rPr>
          <w:rFonts w:hint="eastAsia"/>
          <w:b/>
          <w:bCs/>
          <w:sz w:val="28"/>
          <w:szCs w:val="28"/>
        </w:rPr>
        <w:t>第四章  投标人须知</w:t>
      </w:r>
      <w:bookmarkEnd w:id="18"/>
      <w:bookmarkEnd w:id="29"/>
    </w:p>
    <w:p>
      <w:pPr>
        <w:adjustRightInd w:val="0"/>
        <w:snapToGrid w:val="0"/>
        <w:spacing w:before="156" w:beforeLines="50" w:after="156" w:afterLines="50" w:line="360" w:lineRule="auto"/>
        <w:ind w:left="420"/>
        <w:jc w:val="center"/>
        <w:outlineLvl w:val="1"/>
        <w:rPr>
          <w:b/>
          <w:bCs/>
          <w:sz w:val="28"/>
          <w:szCs w:val="28"/>
        </w:rPr>
      </w:pPr>
      <w:bookmarkStart w:id="30" w:name="_Toc25197"/>
      <w:r>
        <w:rPr>
          <w:rFonts w:hint="eastAsia"/>
          <w:b/>
          <w:bCs/>
          <w:sz w:val="28"/>
          <w:szCs w:val="28"/>
        </w:rPr>
        <w:t>第一部分  投标人须知前附表</w:t>
      </w:r>
      <w:bookmarkEnd w:id="30"/>
    </w:p>
    <w:p>
      <w:pPr>
        <w:spacing w:line="360" w:lineRule="auto"/>
        <w:ind w:right="-1" w:firstLine="480" w:firstLineChars="200"/>
        <w:rPr>
          <w:rFonts w:asciiTheme="minorEastAsia" w:hAnsiTheme="minorEastAsia" w:eastAsiaTheme="minorEastAsia"/>
          <w:sz w:val="24"/>
        </w:rPr>
      </w:pPr>
      <w:r>
        <w:rPr>
          <w:rFonts w:hint="eastAsia" w:asciiTheme="minorEastAsia" w:hAnsiTheme="minorEastAsia" w:eastAsiaTheme="minorEastAsia"/>
          <w:sz w:val="24"/>
        </w:rPr>
        <w:t>说明：本投标人须知前附表的条款项号与《投标人须知通用条款》的条款项号一一对应，是对《投标人须知通用条款》补充、修改和完善，如果有矛盾之处，应以本投标人须知前附表为准。</w:t>
      </w:r>
    </w:p>
    <w:tbl>
      <w:tblPr>
        <w:tblStyle w:val="55"/>
        <w:tblW w:w="99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65"/>
        <w:gridCol w:w="643"/>
        <w:gridCol w:w="1418"/>
        <w:gridCol w:w="65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2" w:type="dxa"/>
            <w:gridSpan w:val="3"/>
            <w:vAlign w:val="center"/>
          </w:tcPr>
          <w:p>
            <w:pPr>
              <w:jc w:val="center"/>
              <w:rPr>
                <w:rFonts w:asciiTheme="minorEastAsia" w:hAnsiTheme="minorEastAsia" w:eastAsiaTheme="minorEastAsia"/>
                <w:b/>
                <w:sz w:val="24"/>
              </w:rPr>
            </w:pPr>
            <w:r>
              <w:rPr>
                <w:rFonts w:asciiTheme="minorEastAsia" w:hAnsiTheme="minorEastAsia" w:eastAsiaTheme="minorEastAsia"/>
                <w:b/>
                <w:sz w:val="24"/>
              </w:rPr>
              <w:t>条款</w:t>
            </w:r>
            <w:r>
              <w:rPr>
                <w:rFonts w:hint="eastAsia" w:asciiTheme="minorEastAsia" w:hAnsiTheme="minorEastAsia" w:eastAsiaTheme="minorEastAsia"/>
                <w:b/>
                <w:sz w:val="24"/>
              </w:rPr>
              <w:t>项</w:t>
            </w:r>
            <w:r>
              <w:rPr>
                <w:rFonts w:asciiTheme="minorEastAsia" w:hAnsiTheme="minorEastAsia" w:eastAsiaTheme="minorEastAsia"/>
                <w:b/>
                <w:sz w:val="24"/>
              </w:rPr>
              <w:t>号</w:t>
            </w:r>
          </w:p>
        </w:tc>
        <w:tc>
          <w:tcPr>
            <w:tcW w:w="1418"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内容</w:t>
            </w:r>
          </w:p>
        </w:tc>
        <w:tc>
          <w:tcPr>
            <w:tcW w:w="6546"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6" w:type="dxa"/>
            <w:gridSpan w:val="5"/>
            <w:vAlign w:val="center"/>
          </w:tcPr>
          <w:p>
            <w:pPr>
              <w:jc w:val="center"/>
              <w:rPr>
                <w:rFonts w:asciiTheme="minorEastAsia" w:hAnsiTheme="minorEastAsia" w:eastAsiaTheme="minorEastAsia"/>
                <w:b/>
                <w:sz w:val="24"/>
              </w:rPr>
            </w:pPr>
            <w:r>
              <w:rPr>
                <w:rFonts w:hint="eastAsia" w:ascii="宋体" w:hAnsi="宋体"/>
                <w:b/>
                <w:sz w:val="24"/>
              </w:rPr>
              <w:t>一、总则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9" w:type="dxa"/>
            <w:gridSpan w:val="2"/>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（二）</w:t>
            </w:r>
          </w:p>
        </w:tc>
        <w:tc>
          <w:tcPr>
            <w:tcW w:w="643" w:type="dxa"/>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2.</w:t>
            </w:r>
          </w:p>
        </w:tc>
        <w:tc>
          <w:tcPr>
            <w:tcW w:w="1418" w:type="dxa"/>
            <w:vAlign w:val="center"/>
          </w:tcPr>
          <w:p>
            <w:pPr>
              <w:jc w:val="center"/>
              <w:rPr>
                <w:rFonts w:asciiTheme="minorEastAsia" w:hAnsiTheme="minorEastAsia" w:eastAsiaTheme="minorEastAsia"/>
                <w:b/>
                <w:sz w:val="24"/>
              </w:rPr>
            </w:pPr>
            <w:r>
              <w:rPr>
                <w:rFonts w:hint="eastAsia" w:ascii="宋体" w:hAnsi="宋体" w:cs="宋体"/>
                <w:sz w:val="24"/>
              </w:rPr>
              <w:t>资金来源</w:t>
            </w:r>
          </w:p>
        </w:tc>
        <w:tc>
          <w:tcPr>
            <w:tcW w:w="6546" w:type="dxa"/>
            <w:vAlign w:val="center"/>
          </w:tcPr>
          <w:p>
            <w:pPr>
              <w:rPr>
                <w:rFonts w:asciiTheme="minorEastAsia" w:hAnsiTheme="minorEastAsia" w:eastAsiaTheme="minorEastAsia"/>
                <w:b/>
                <w:sz w:val="24"/>
              </w:rPr>
            </w:pPr>
            <w:r>
              <w:rPr>
                <w:rFonts w:hint="eastAsia" w:ascii="宋体" w:hAnsi="宋体" w:cs="宋体" w:eastAsiaTheme="minorEastAsia"/>
                <w:sz w:val="24"/>
              </w:rPr>
              <w:t>企业自筹资金。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6" w:type="dxa"/>
            <w:gridSpan w:val="5"/>
            <w:vAlign w:val="center"/>
          </w:tcPr>
          <w:p>
            <w:pPr>
              <w:jc w:val="center"/>
              <w:rPr>
                <w:rFonts w:asciiTheme="minorEastAsia" w:hAnsiTheme="minorEastAsia" w:eastAsiaTheme="minorEastAsia"/>
                <w:sz w:val="24"/>
              </w:rPr>
            </w:pPr>
            <w:r>
              <w:rPr>
                <w:rFonts w:hint="eastAsia" w:asciiTheme="minorEastAsia" w:hAnsiTheme="minorEastAsia" w:eastAsiaTheme="minorEastAsia"/>
                <w:b/>
                <w:sz w:val="24"/>
              </w:rPr>
              <w:t>二、招标文件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（三）</w:t>
            </w:r>
          </w:p>
        </w:tc>
        <w:tc>
          <w:tcPr>
            <w:tcW w:w="708"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418"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现场考察或答疑会</w:t>
            </w:r>
          </w:p>
        </w:tc>
        <w:tc>
          <w:tcPr>
            <w:tcW w:w="6546" w:type="dxa"/>
            <w:vAlign w:val="center"/>
          </w:tcPr>
          <w:p>
            <w:pPr>
              <w:tabs>
                <w:tab w:val="left" w:pos="459"/>
                <w:tab w:val="left" w:pos="601"/>
              </w:tabs>
              <w:adjustRightInd w:val="0"/>
              <w:snapToGrid w:val="0"/>
              <w:rPr>
                <w:rFonts w:asciiTheme="minorEastAsia" w:hAnsiTheme="minorEastAsia" w:eastAsiaTheme="minorEastAsia"/>
                <w:sz w:val="24"/>
              </w:rPr>
            </w:pPr>
            <w:r>
              <w:rPr>
                <w:rFonts w:hint="eastAsia" w:asciiTheme="minorEastAsia" w:hAnsiTheme="minorEastAsia" w:eastAsiaTheme="minorEastAsia"/>
                <w:sz w:val="24"/>
              </w:rPr>
              <w:t>不举行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86" w:type="dxa"/>
            <w:gridSpan w:val="5"/>
            <w:vAlign w:val="center"/>
          </w:tcPr>
          <w:p>
            <w:pPr>
              <w:jc w:val="center"/>
              <w:rPr>
                <w:rFonts w:asciiTheme="minorEastAsia" w:hAnsiTheme="minorEastAsia" w:eastAsiaTheme="minorEastAsia"/>
                <w:b/>
                <w:sz w:val="24"/>
              </w:rPr>
            </w:pPr>
            <w:r>
              <w:rPr>
                <w:rFonts w:asciiTheme="minorEastAsia" w:hAnsiTheme="minorEastAsia" w:eastAsiaTheme="minorEastAsia"/>
                <w:b/>
                <w:sz w:val="24"/>
              </w:rPr>
              <w:t>三、投标文件的编制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（四）</w:t>
            </w:r>
          </w:p>
        </w:tc>
        <w:tc>
          <w:tcPr>
            <w:tcW w:w="708" w:type="dxa"/>
            <w:gridSpan w:val="2"/>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p>
        </w:tc>
        <w:tc>
          <w:tcPr>
            <w:tcW w:w="1418"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投标文件</w:t>
            </w:r>
            <w:r>
              <w:rPr>
                <w:rFonts w:hint="eastAsia" w:asciiTheme="minorEastAsia" w:hAnsiTheme="minorEastAsia" w:eastAsiaTheme="minorEastAsia"/>
                <w:sz w:val="24"/>
              </w:rPr>
              <w:t>式样与</w:t>
            </w:r>
            <w:r>
              <w:rPr>
                <w:rFonts w:asciiTheme="minorEastAsia" w:hAnsiTheme="minorEastAsia" w:eastAsiaTheme="minorEastAsia"/>
                <w:sz w:val="24"/>
              </w:rPr>
              <w:t>份数</w:t>
            </w:r>
          </w:p>
        </w:tc>
        <w:tc>
          <w:tcPr>
            <w:tcW w:w="6546" w:type="dxa"/>
            <w:vAlign w:val="center"/>
          </w:tcPr>
          <w:p>
            <w:pPr>
              <w:pStyle w:val="160"/>
              <w:numPr>
                <w:ilvl w:val="0"/>
                <w:numId w:val="15"/>
              </w:numPr>
              <w:tabs>
                <w:tab w:val="left" w:pos="459"/>
                <w:tab w:val="left" w:pos="601"/>
              </w:tabs>
              <w:adjustRightInd w:val="0"/>
              <w:snapToGrid w:val="0"/>
              <w:ind w:firstLineChars="0"/>
              <w:rPr>
                <w:rFonts w:asciiTheme="minorEastAsia" w:hAnsiTheme="minorEastAsia" w:eastAsiaTheme="minorEastAsia"/>
                <w:sz w:val="24"/>
              </w:rPr>
            </w:pPr>
            <w:r>
              <w:rPr>
                <w:rFonts w:asciiTheme="minorEastAsia" w:hAnsiTheme="minorEastAsia" w:eastAsiaTheme="minorEastAsia"/>
                <w:sz w:val="24"/>
              </w:rPr>
              <w:t>正本一份，副本</w:t>
            </w:r>
            <w:r>
              <w:rPr>
                <w:rFonts w:hint="eastAsia" w:asciiTheme="minorEastAsia" w:hAnsiTheme="minorEastAsia" w:eastAsiaTheme="minorEastAsia"/>
                <w:sz w:val="24"/>
              </w:rPr>
              <w:t>四</w:t>
            </w:r>
            <w:r>
              <w:rPr>
                <w:rFonts w:asciiTheme="minorEastAsia" w:hAnsiTheme="minorEastAsia" w:eastAsiaTheme="minorEastAsia"/>
                <w:sz w:val="24"/>
              </w:rPr>
              <w:t>份，电子介质</w:t>
            </w:r>
            <w:r>
              <w:rPr>
                <w:rFonts w:hint="eastAsia" w:asciiTheme="minorEastAsia" w:hAnsiTheme="minorEastAsia" w:eastAsiaTheme="minorEastAsia"/>
                <w:sz w:val="24"/>
              </w:rPr>
              <w:t>一</w:t>
            </w:r>
            <w:r>
              <w:rPr>
                <w:rFonts w:asciiTheme="minorEastAsia" w:hAnsiTheme="minorEastAsia" w:eastAsiaTheme="minorEastAsia"/>
                <w:sz w:val="24"/>
              </w:rPr>
              <w:t>份。</w:t>
            </w:r>
          </w:p>
          <w:p>
            <w:pPr>
              <w:tabs>
                <w:tab w:val="left" w:pos="459"/>
                <w:tab w:val="left" w:pos="601"/>
              </w:tabs>
              <w:adjustRightInd w:val="0"/>
              <w:snapToGrid w:val="0"/>
              <w:rPr>
                <w:rFonts w:asciiTheme="minorEastAsia" w:hAnsiTheme="minorEastAsia" w:eastAsiaTheme="minorEastAsia"/>
                <w:sz w:val="24"/>
              </w:rPr>
            </w:pPr>
            <w:r>
              <w:rPr>
                <w:rFonts w:hint="eastAsia" w:asciiTheme="minorEastAsia" w:hAnsiTheme="minorEastAsia" w:eastAsiaTheme="minorEastAsia"/>
                <w:sz w:val="24"/>
              </w:rPr>
              <w:t>（2）投标文件的副本可采用正本的复印件。每套投标文件须清楚地标明“正本”或“副本”。若副本与正本不符，以正本为准。</w:t>
            </w:r>
          </w:p>
          <w:p>
            <w:pPr>
              <w:tabs>
                <w:tab w:val="left" w:pos="459"/>
                <w:tab w:val="left" w:pos="601"/>
              </w:tabs>
              <w:adjustRightInd w:val="0"/>
              <w:snapToGrid w:val="0"/>
              <w:rPr>
                <w:rFonts w:asciiTheme="minorEastAsia" w:hAnsiTheme="minorEastAsia" w:eastAsiaTheme="minorEastAsia"/>
                <w:sz w:val="24"/>
              </w:rPr>
            </w:pPr>
            <w:r>
              <w:rPr>
                <w:rFonts w:hint="eastAsia" w:asciiTheme="minorEastAsia" w:hAnsiTheme="minorEastAsia" w:eastAsiaTheme="minorEastAsia"/>
                <w:sz w:val="24"/>
              </w:rPr>
              <w:t>（3）电子介质是指将按招标文件要求签署、盖章后的正本投标文件扫描成PDF格式后拷贝至无病毒无密码的U盘或光盘。</w:t>
            </w:r>
          </w:p>
          <w:p>
            <w:pPr>
              <w:tabs>
                <w:tab w:val="left" w:pos="459"/>
                <w:tab w:val="left" w:pos="601"/>
              </w:tabs>
              <w:adjustRightInd w:val="0"/>
              <w:snapToGrid w:val="0"/>
              <w:rPr>
                <w:rFonts w:asciiTheme="minorEastAsia" w:hAnsiTheme="minorEastAsia" w:eastAsiaTheme="minorEastAsia"/>
                <w:sz w:val="24"/>
              </w:rPr>
            </w:pPr>
            <w:r>
              <w:rPr>
                <w:rFonts w:hint="eastAsia" w:asciiTheme="minorEastAsia" w:hAnsiTheme="minorEastAsia" w:eastAsiaTheme="minorEastAsia"/>
                <w:sz w:val="24"/>
              </w:rPr>
              <w:t>（4）若电子介质的投标文件与纸质投标文件不符，以纸质投标文件为准。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vMerge w:val="continue"/>
            <w:vAlign w:val="center"/>
          </w:tcPr>
          <w:p>
            <w:pPr>
              <w:jc w:val="center"/>
              <w:rPr>
                <w:rFonts w:asciiTheme="minorEastAsia" w:hAnsiTheme="minorEastAsia" w:eastAsiaTheme="minorEastAsia"/>
                <w:sz w:val="24"/>
              </w:rPr>
            </w:pPr>
          </w:p>
        </w:tc>
        <w:tc>
          <w:tcPr>
            <w:tcW w:w="708"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418"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单独密封资料</w:t>
            </w:r>
          </w:p>
        </w:tc>
        <w:tc>
          <w:tcPr>
            <w:tcW w:w="6546" w:type="dxa"/>
            <w:vAlign w:val="center"/>
          </w:tcPr>
          <w:p>
            <w:pPr>
              <w:tabs>
                <w:tab w:val="left" w:pos="459"/>
                <w:tab w:val="left" w:pos="601"/>
              </w:tabs>
              <w:adjustRightInd w:val="0"/>
              <w:snapToGrid w:val="0"/>
              <w:rPr>
                <w:rFonts w:asciiTheme="minorEastAsia" w:hAnsiTheme="minorEastAsia" w:eastAsiaTheme="minorEastAsia"/>
                <w:sz w:val="24"/>
              </w:rPr>
            </w:pPr>
            <w:r>
              <w:rPr>
                <w:rFonts w:hint="eastAsia" w:asciiTheme="minorEastAsia" w:hAnsiTheme="minorEastAsia" w:eastAsiaTheme="minorEastAsia"/>
                <w:sz w:val="24"/>
              </w:rPr>
              <w:t>投标人还应将</w:t>
            </w:r>
            <w:r>
              <w:rPr>
                <w:rFonts w:hint="eastAsia" w:asciiTheme="minorEastAsia" w:hAnsiTheme="minorEastAsia" w:eastAsiaTheme="minorEastAsia"/>
                <w:b/>
                <w:sz w:val="24"/>
              </w:rPr>
              <w:t>电子介质</w:t>
            </w:r>
            <w:r>
              <w:rPr>
                <w:rFonts w:hint="eastAsia" w:asciiTheme="minorEastAsia" w:hAnsiTheme="minorEastAsia" w:eastAsiaTheme="minorEastAsia"/>
                <w:sz w:val="24"/>
              </w:rPr>
              <w:t>单独密封提交，并在信封上标明“单独密封资料”字样。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vMerge w:val="continue"/>
            <w:vAlign w:val="center"/>
          </w:tcPr>
          <w:p>
            <w:pPr>
              <w:jc w:val="center"/>
              <w:rPr>
                <w:rFonts w:asciiTheme="minorEastAsia" w:hAnsiTheme="minorEastAsia" w:eastAsiaTheme="minorEastAsia"/>
                <w:sz w:val="24"/>
              </w:rPr>
            </w:pPr>
          </w:p>
        </w:tc>
        <w:tc>
          <w:tcPr>
            <w:tcW w:w="708" w:type="dxa"/>
            <w:gridSpan w:val="2"/>
            <w:vAlign w:val="center"/>
          </w:tcPr>
          <w:p>
            <w:pPr>
              <w:jc w:val="center"/>
              <w:rPr>
                <w:rFonts w:ascii="宋体" w:hAnsi="宋体" w:cs="宋体"/>
                <w:sz w:val="24"/>
              </w:rPr>
            </w:pPr>
            <w:r>
              <w:rPr>
                <w:rFonts w:hint="eastAsia" w:asciiTheme="minorEastAsia" w:hAnsiTheme="minorEastAsia" w:eastAsiaTheme="minorEastAsia"/>
                <w:sz w:val="24"/>
              </w:rPr>
              <w:t>2.</w:t>
            </w:r>
          </w:p>
        </w:tc>
        <w:tc>
          <w:tcPr>
            <w:tcW w:w="1418" w:type="dxa"/>
            <w:vAlign w:val="center"/>
          </w:tcPr>
          <w:p>
            <w:pPr>
              <w:jc w:val="center"/>
              <w:rPr>
                <w:rFonts w:ascii="宋体" w:hAnsi="宋体" w:cs="宋体"/>
                <w:sz w:val="24"/>
              </w:rPr>
            </w:pPr>
            <w:r>
              <w:rPr>
                <w:rFonts w:hint="eastAsia" w:ascii="宋体" w:hAnsi="宋体" w:cs="宋体"/>
                <w:sz w:val="24"/>
              </w:rPr>
              <w:t>投标报价</w:t>
            </w:r>
          </w:p>
        </w:tc>
        <w:tc>
          <w:tcPr>
            <w:tcW w:w="6546" w:type="dxa"/>
            <w:vAlign w:val="center"/>
          </w:tcPr>
          <w:p>
            <w:pPr>
              <w:tabs>
                <w:tab w:val="left" w:pos="459"/>
                <w:tab w:val="left" w:pos="601"/>
              </w:tabs>
              <w:adjustRightInd w:val="0"/>
              <w:snapToGrid w:val="0"/>
              <w:rPr>
                <w:rFonts w:ascii="宋体" w:hAnsi="宋体" w:cs="宋体"/>
                <w:sz w:val="24"/>
              </w:rPr>
            </w:pPr>
            <w:r>
              <w:rPr>
                <w:rFonts w:hint="eastAsia" w:cs="宋体" w:asciiTheme="minorEastAsia" w:hAnsiTheme="minorEastAsia" w:eastAsiaTheme="minorEastAsia"/>
                <w:sz w:val="24"/>
                <w:lang w:val="zh-CN"/>
              </w:rPr>
              <w:t>包</w:t>
            </w:r>
            <w:r>
              <w:rPr>
                <w:rFonts w:cs="宋体" w:asciiTheme="minorEastAsia" w:hAnsiTheme="minorEastAsia" w:eastAsiaTheme="minorEastAsia"/>
                <w:sz w:val="24"/>
                <w:lang w:val="zh-CN"/>
              </w:rPr>
              <w:t>括但不</w:t>
            </w:r>
            <w:r>
              <w:rPr>
                <w:rFonts w:hint="eastAsia" w:cs="宋体" w:asciiTheme="minorEastAsia" w:hAnsiTheme="minorEastAsia" w:eastAsiaTheme="minorEastAsia"/>
                <w:sz w:val="24"/>
                <w:lang w:val="zh-CN"/>
              </w:rPr>
              <w:t>仅仅</w:t>
            </w:r>
            <w:r>
              <w:rPr>
                <w:rFonts w:cs="宋体" w:asciiTheme="minorEastAsia" w:hAnsiTheme="minorEastAsia" w:eastAsiaTheme="minorEastAsia"/>
                <w:sz w:val="24"/>
                <w:lang w:val="zh-CN"/>
              </w:rPr>
              <w:t>限于</w:t>
            </w:r>
            <w:r>
              <w:rPr>
                <w:rFonts w:hint="eastAsia" w:cs="宋体" w:asciiTheme="minorEastAsia" w:hAnsiTheme="minorEastAsia" w:eastAsiaTheme="minorEastAsia"/>
                <w:sz w:val="24"/>
                <w:lang w:val="zh-CN"/>
              </w:rPr>
              <w:t>：</w:t>
            </w:r>
            <w:r>
              <w:rPr>
                <w:rFonts w:cs="宋体" w:asciiTheme="minorEastAsia" w:hAnsiTheme="minorEastAsia" w:eastAsiaTheme="minorEastAsia"/>
                <w:sz w:val="24"/>
                <w:lang w:val="zh-CN"/>
              </w:rPr>
              <w:t>项目的</w:t>
            </w:r>
            <w:r>
              <w:rPr>
                <w:rFonts w:hint="eastAsia" w:cs="宋体" w:asciiTheme="minorEastAsia" w:hAnsiTheme="minorEastAsia" w:eastAsiaTheme="minorEastAsia"/>
                <w:sz w:val="24"/>
                <w:lang w:val="zh-CN"/>
              </w:rPr>
              <w:t>货物价格、</w:t>
            </w:r>
            <w:r>
              <w:rPr>
                <w:rFonts w:hint="eastAsia" w:cs="宋体" w:asciiTheme="minorEastAsia" w:hAnsiTheme="minorEastAsia" w:eastAsiaTheme="minorEastAsia"/>
                <w:sz w:val="24"/>
              </w:rPr>
              <w:t>配送服务、</w:t>
            </w:r>
            <w:r>
              <w:rPr>
                <w:rFonts w:hint="eastAsia" w:cs="宋体" w:asciiTheme="minorEastAsia" w:hAnsiTheme="minorEastAsia" w:eastAsiaTheme="minorEastAsia"/>
                <w:sz w:val="24"/>
                <w:lang w:val="zh-CN"/>
              </w:rPr>
              <w:t>应向中华人民共和国政府缴纳的增值税和其它税等全部税费</w:t>
            </w:r>
            <w:r>
              <w:rPr>
                <w:rFonts w:cs="宋体" w:asciiTheme="minorEastAsia" w:hAnsiTheme="minorEastAsia" w:eastAsiaTheme="minorEastAsia"/>
                <w:sz w:val="24"/>
                <w:lang w:val="zh-CN"/>
              </w:rPr>
              <w:t>以及</w:t>
            </w:r>
            <w:r>
              <w:rPr>
                <w:rFonts w:hint="eastAsia" w:cs="宋体" w:asciiTheme="minorEastAsia" w:hAnsiTheme="minorEastAsia" w:eastAsiaTheme="minorEastAsia"/>
                <w:sz w:val="24"/>
                <w:lang w:val="zh-CN"/>
              </w:rPr>
              <w:t>履行合同所需的费用、</w:t>
            </w:r>
            <w:r>
              <w:rPr>
                <w:rFonts w:cs="宋体" w:asciiTheme="minorEastAsia" w:hAnsiTheme="minorEastAsia" w:eastAsiaTheme="minorEastAsia"/>
                <w:sz w:val="24"/>
                <w:lang w:val="zh-CN"/>
              </w:rPr>
              <w:t>所有风险、责任等</w:t>
            </w:r>
            <w:r>
              <w:rPr>
                <w:rFonts w:hint="eastAsia" w:cs="宋体" w:asciiTheme="minorEastAsia" w:hAnsiTheme="minorEastAsia" w:eastAsiaTheme="minorEastAsia"/>
                <w:sz w:val="24"/>
                <w:lang w:val="zh-CN"/>
              </w:rPr>
              <w:t>其他一切隐含及不可预见的费用。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vMerge w:val="continue"/>
            <w:vAlign w:val="center"/>
          </w:tcPr>
          <w:p>
            <w:pPr>
              <w:jc w:val="center"/>
              <w:rPr>
                <w:rFonts w:asciiTheme="minorEastAsia" w:hAnsiTheme="minorEastAsia" w:eastAsiaTheme="minorEastAsia"/>
                <w:sz w:val="24"/>
              </w:rPr>
            </w:pPr>
          </w:p>
        </w:tc>
        <w:tc>
          <w:tcPr>
            <w:tcW w:w="708"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418" w:type="dxa"/>
            <w:vAlign w:val="center"/>
          </w:tcPr>
          <w:p>
            <w:pPr>
              <w:jc w:val="center"/>
              <w:rPr>
                <w:rFonts w:ascii="宋体" w:hAnsi="宋体" w:cs="宋体"/>
                <w:sz w:val="24"/>
              </w:rPr>
            </w:pPr>
            <w:r>
              <w:rPr>
                <w:rFonts w:hint="eastAsia" w:ascii="宋体" w:hAnsi="宋体" w:cs="宋体"/>
                <w:sz w:val="24"/>
              </w:rPr>
              <w:t>备选方案</w:t>
            </w:r>
          </w:p>
        </w:tc>
        <w:tc>
          <w:tcPr>
            <w:tcW w:w="6546" w:type="dxa"/>
            <w:vAlign w:val="center"/>
          </w:tcPr>
          <w:p>
            <w:pPr>
              <w:tabs>
                <w:tab w:val="left" w:pos="459"/>
                <w:tab w:val="left" w:pos="601"/>
              </w:tabs>
              <w:adjustRightInd w:val="0"/>
              <w:snapToGrid w:val="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不允许,每项报价或每种规格货物或每项服务只允许有一个报价，否则将被视为无效投标。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（十）</w:t>
            </w:r>
          </w:p>
        </w:tc>
        <w:tc>
          <w:tcPr>
            <w:tcW w:w="708" w:type="dxa"/>
            <w:gridSpan w:val="2"/>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p>
        </w:tc>
        <w:tc>
          <w:tcPr>
            <w:tcW w:w="1418" w:type="dxa"/>
            <w:vAlign w:val="center"/>
          </w:tcPr>
          <w:p>
            <w:pPr>
              <w:jc w:val="center"/>
              <w:rPr>
                <w:rFonts w:asciiTheme="minorEastAsia" w:hAnsiTheme="minorEastAsia" w:eastAsiaTheme="minorEastAsia"/>
                <w:sz w:val="24"/>
              </w:rPr>
            </w:pPr>
            <w:r>
              <w:rPr>
                <w:rFonts w:hint="eastAsia" w:cs="宋体" w:asciiTheme="minorEastAsia" w:hAnsiTheme="minorEastAsia" w:eastAsiaTheme="minorEastAsia"/>
                <w:sz w:val="24"/>
                <w:lang w:eastAsia="zh-TW"/>
              </w:rPr>
              <w:t>投标保证金</w:t>
            </w:r>
          </w:p>
        </w:tc>
        <w:tc>
          <w:tcPr>
            <w:tcW w:w="6546" w:type="dxa"/>
            <w:vAlign w:val="center"/>
          </w:tcPr>
          <w:p>
            <w:pPr>
              <w:snapToGrid w:val="0"/>
              <w:spacing w:line="264" w:lineRule="auto"/>
              <w:rPr>
                <w:rFonts w:ascii="宋体" w:cs="宋体"/>
                <w:sz w:val="24"/>
              </w:rPr>
            </w:pPr>
            <w:r>
              <w:rPr>
                <w:rFonts w:hint="eastAsia" w:ascii="宋体" w:cs="宋体"/>
                <w:sz w:val="24"/>
              </w:rPr>
              <w:t>本项目不要求提交投标保证金。招标文件中关于投标保证金的事项及有关条款不适用。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（十一）</w:t>
            </w:r>
          </w:p>
        </w:tc>
        <w:tc>
          <w:tcPr>
            <w:tcW w:w="708" w:type="dxa"/>
            <w:gridSpan w:val="2"/>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p>
        </w:tc>
        <w:tc>
          <w:tcPr>
            <w:tcW w:w="1418"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投标有效期</w:t>
            </w:r>
          </w:p>
        </w:tc>
        <w:tc>
          <w:tcPr>
            <w:tcW w:w="6546" w:type="dxa"/>
            <w:vAlign w:val="center"/>
          </w:tcPr>
          <w:p>
            <w:pPr>
              <w:rPr>
                <w:rFonts w:asciiTheme="minorEastAsia" w:hAnsiTheme="minorEastAsia" w:eastAsiaTheme="minorEastAsia"/>
                <w:sz w:val="24"/>
              </w:rPr>
            </w:pPr>
            <w:r>
              <w:rPr>
                <w:rFonts w:asciiTheme="minorEastAsia" w:hAnsiTheme="minorEastAsia" w:eastAsiaTheme="minorEastAsia"/>
                <w:sz w:val="24"/>
                <w:u w:val="single"/>
              </w:rPr>
              <w:t>90</w:t>
            </w:r>
            <w:r>
              <w:rPr>
                <w:rFonts w:hint="eastAsia" w:asciiTheme="minorEastAsia" w:hAnsiTheme="minorEastAsia" w:eastAsiaTheme="minorEastAsia"/>
                <w:sz w:val="24"/>
              </w:rPr>
              <w:t>日历日。</w:t>
            </w:r>
            <w:r>
              <w:rPr>
                <w:rFonts w:hint="eastAsia" w:ascii="宋体" w:hAnsi="宋体" w:cs="宋体"/>
                <w:sz w:val="24"/>
              </w:rPr>
              <w:t>投标有效期不足的投标，将被视为</w:t>
            </w:r>
            <w:r>
              <w:rPr>
                <w:rFonts w:hint="eastAsia" w:ascii="宋体" w:hAnsi="宋体" w:cs="宋体"/>
                <w:b/>
                <w:sz w:val="24"/>
              </w:rPr>
              <w:t>无效投标</w:t>
            </w: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6" w:type="dxa"/>
            <w:gridSpan w:val="5"/>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五、开标、评标、定标与合同签订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vMerge w:val="restart"/>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（二）</w:t>
            </w:r>
          </w:p>
        </w:tc>
        <w:tc>
          <w:tcPr>
            <w:tcW w:w="708"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418"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评标委员会成员人数</w:t>
            </w:r>
          </w:p>
        </w:tc>
        <w:tc>
          <w:tcPr>
            <w:tcW w:w="6546" w:type="dxa"/>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由采购人依法组建。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14" w:type="dxa"/>
            <w:vMerge w:val="continue"/>
            <w:vAlign w:val="center"/>
          </w:tcPr>
          <w:p>
            <w:pPr>
              <w:jc w:val="center"/>
              <w:rPr>
                <w:rFonts w:asciiTheme="minorEastAsia" w:hAnsiTheme="minorEastAsia" w:eastAsiaTheme="minorEastAsia"/>
                <w:sz w:val="24"/>
              </w:rPr>
            </w:pPr>
          </w:p>
        </w:tc>
        <w:tc>
          <w:tcPr>
            <w:tcW w:w="708"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418" w:type="dxa"/>
            <w:vAlign w:val="center"/>
          </w:tcPr>
          <w:p>
            <w:pPr>
              <w:jc w:val="center"/>
              <w:rPr>
                <w:rFonts w:asciiTheme="minorEastAsia" w:hAnsiTheme="minorEastAsia" w:eastAsiaTheme="minorEastAsia"/>
                <w:sz w:val="24"/>
              </w:rPr>
            </w:pPr>
            <w:r>
              <w:rPr>
                <w:rFonts w:hint="eastAsia" w:asciiTheme="minorEastAsia" w:hAnsiTheme="minorEastAsia" w:eastAsiaTheme="minorEastAsia"/>
                <w:bCs/>
                <w:sz w:val="24"/>
              </w:rPr>
              <w:t>评标方法</w:t>
            </w:r>
          </w:p>
        </w:tc>
        <w:tc>
          <w:tcPr>
            <w:tcW w:w="6546" w:type="dxa"/>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采用综合评分法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31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（三）</w:t>
            </w:r>
          </w:p>
        </w:tc>
        <w:tc>
          <w:tcPr>
            <w:tcW w:w="708"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418" w:type="dxa"/>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推荐中标候选人</w:t>
            </w:r>
          </w:p>
        </w:tc>
        <w:tc>
          <w:tcPr>
            <w:tcW w:w="6546" w:type="dxa"/>
            <w:vAlign w:val="center"/>
          </w:tcPr>
          <w:p>
            <w:pPr>
              <w:jc w:val="left"/>
              <w:rPr>
                <w:rFonts w:asciiTheme="minorEastAsia" w:hAnsiTheme="minorEastAsia" w:eastAsiaTheme="minorEastAsia"/>
                <w:bCs/>
                <w:sz w:val="24"/>
              </w:rPr>
            </w:pPr>
            <w:r>
              <w:rPr>
                <w:rFonts w:hint="eastAsia" w:asciiTheme="minorEastAsia" w:hAnsiTheme="minorEastAsia" w:eastAsiaTheme="minorEastAsia"/>
                <w:bCs/>
                <w:sz w:val="24"/>
              </w:rPr>
              <w:t>综合评分法：推荐综合得分排名第一的投标人为第一中标候选人，排名第二的投标人为第二中标候选人，排名第三的投标人为第三中标候选人。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31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（四）</w:t>
            </w:r>
          </w:p>
        </w:tc>
        <w:tc>
          <w:tcPr>
            <w:tcW w:w="708"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418" w:type="dxa"/>
            <w:vAlign w:val="center"/>
          </w:tcPr>
          <w:p>
            <w:pPr>
              <w:jc w:val="center"/>
              <w:rPr>
                <w:rFonts w:asciiTheme="minorEastAsia" w:hAnsiTheme="minorEastAsia" w:eastAsiaTheme="minorEastAsia"/>
                <w:bCs/>
                <w:sz w:val="24"/>
              </w:rPr>
            </w:pPr>
            <w:r>
              <w:rPr>
                <w:rFonts w:hint="eastAsia"/>
                <w:sz w:val="24"/>
              </w:rPr>
              <w:t>中标人的确定</w:t>
            </w:r>
          </w:p>
        </w:tc>
        <w:tc>
          <w:tcPr>
            <w:tcW w:w="6546" w:type="dxa"/>
            <w:vAlign w:val="center"/>
          </w:tcPr>
          <w:p>
            <w:pPr>
              <w:rPr>
                <w:rFonts w:asciiTheme="minorEastAsia" w:hAnsiTheme="minorEastAsia" w:eastAsiaTheme="minorEastAsia"/>
                <w:sz w:val="24"/>
              </w:rPr>
            </w:pPr>
            <w:r>
              <w:rPr>
                <w:rFonts w:hint="eastAsia" w:asciiTheme="minorEastAsia" w:hAnsiTheme="minorEastAsia" w:eastAsiaTheme="minorEastAsia"/>
                <w:sz w:val="24"/>
              </w:rPr>
              <w:t>采购人按照评审报告中推荐的第一中标候选人确定为中标人。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8" w:hRule="atLeast"/>
          <w:jc w:val="center"/>
        </w:trPr>
        <w:tc>
          <w:tcPr>
            <w:tcW w:w="131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（六）</w:t>
            </w:r>
          </w:p>
        </w:tc>
        <w:tc>
          <w:tcPr>
            <w:tcW w:w="708"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418" w:type="dxa"/>
            <w:vAlign w:val="center"/>
          </w:tcPr>
          <w:p>
            <w:pPr>
              <w:jc w:val="center"/>
              <w:rPr>
                <w:sz w:val="24"/>
              </w:rPr>
            </w:pPr>
            <w:r>
              <w:rPr>
                <w:rFonts w:hint="eastAsia" w:ascii="宋体" w:hAnsi="宋体" w:cs="宋体"/>
                <w:sz w:val="24"/>
              </w:rPr>
              <w:t>采购代理服务费</w:t>
            </w:r>
          </w:p>
        </w:tc>
        <w:tc>
          <w:tcPr>
            <w:tcW w:w="6546" w:type="dxa"/>
          </w:tcPr>
          <w:p>
            <w:pPr>
              <w:pStyle w:val="101"/>
              <w:numPr>
                <w:ilvl w:val="255"/>
                <w:numId w:val="0"/>
              </w:numPr>
              <w:tabs>
                <w:tab w:val="left" w:pos="524"/>
                <w:tab w:val="left" w:pos="601"/>
              </w:tabs>
              <w:adjustRightInd w:val="0"/>
              <w:snapToGrid w:val="0"/>
              <w:rPr>
                <w:rFonts w:asciiTheme="minorEastAsia" w:hAnsiTheme="minorEastAsia" w:eastAsiaTheme="minorEastAsia"/>
                <w:sz w:val="24"/>
              </w:rPr>
            </w:pPr>
            <w:r>
              <w:rPr>
                <w:rFonts w:hint="eastAsia" w:asciiTheme="minorEastAsia" w:hAnsiTheme="minorEastAsia" w:eastAsiaTheme="minorEastAsia"/>
                <w:sz w:val="24"/>
              </w:rPr>
              <w:t>（1）本次采购代理服务费向中标人收取；</w:t>
            </w:r>
          </w:p>
          <w:p>
            <w:pPr>
              <w:pStyle w:val="101"/>
              <w:numPr>
                <w:ilvl w:val="0"/>
                <w:numId w:val="16"/>
              </w:numPr>
              <w:tabs>
                <w:tab w:val="left" w:pos="524"/>
                <w:tab w:val="left" w:pos="601"/>
              </w:tabs>
              <w:wordWrap w:val="0"/>
              <w:adjustRightInd w:val="0"/>
              <w:snapToGrid w:val="0"/>
              <w:ind w:firstLine="0" w:firstLineChars="0"/>
              <w:rPr>
                <w:rFonts w:asciiTheme="minorEastAsia" w:hAnsiTheme="minorEastAsia" w:eastAsiaTheme="minorEastAsia"/>
                <w:sz w:val="24"/>
              </w:rPr>
            </w:pPr>
            <w:r>
              <w:rPr>
                <w:rFonts w:hint="eastAsia" w:asciiTheme="minorEastAsia" w:hAnsiTheme="minorEastAsia" w:eastAsiaTheme="minorEastAsia"/>
                <w:sz w:val="24"/>
              </w:rPr>
              <w:t>采购机构代理服务收费标准：按照《招标代理服务收费管理暂行办法》计价格[2002]1980号文和发改价格[2011]534号计费标准的“货物招标”收费标准按差额定率累进法下浮10%收取。</w:t>
            </w:r>
          </w:p>
          <w:p>
            <w:pPr>
              <w:pStyle w:val="101"/>
              <w:numPr>
                <w:ilvl w:val="255"/>
                <w:numId w:val="0"/>
              </w:numPr>
              <w:tabs>
                <w:tab w:val="left" w:pos="524"/>
                <w:tab w:val="left" w:pos="601"/>
              </w:tabs>
              <w:adjustRightInd w:val="0"/>
              <w:snapToGrid w:val="0"/>
              <w:rPr>
                <w:rFonts w:asciiTheme="minorEastAsia" w:hAnsiTheme="minorEastAsia" w:eastAsiaTheme="minorEastAsia"/>
                <w:sz w:val="24"/>
              </w:rPr>
            </w:pPr>
            <w:r>
              <w:rPr>
                <w:rFonts w:hint="eastAsia" w:asciiTheme="minorEastAsia" w:hAnsiTheme="minorEastAsia" w:eastAsiaTheme="minorEastAsia"/>
                <w:sz w:val="24"/>
              </w:rPr>
              <w:t>（3）投标人应签署第六章所附格式的采购代理服务费承诺书，作为投标文件的一部分</w:t>
            </w:r>
            <w:r>
              <w:rPr>
                <w:rFonts w:asciiTheme="minorEastAsia" w:hAnsiTheme="minorEastAsia" w:eastAsiaTheme="minorEastAsia"/>
                <w:sz w:val="24"/>
              </w:rPr>
              <w:t>。</w:t>
            </w:r>
          </w:p>
          <w:p>
            <w:pPr>
              <w:pStyle w:val="101"/>
              <w:numPr>
                <w:ilvl w:val="255"/>
                <w:numId w:val="0"/>
              </w:numPr>
              <w:tabs>
                <w:tab w:val="left" w:pos="524"/>
                <w:tab w:val="left" w:pos="601"/>
              </w:tabs>
              <w:adjustRightInd w:val="0"/>
              <w:snapToGrid w:val="0"/>
              <w:rPr>
                <w:rFonts w:ascii="宋体" w:hAnsi="宋体"/>
                <w:sz w:val="24"/>
              </w:rPr>
            </w:pPr>
            <w:r>
              <w:rPr>
                <w:rFonts w:hint="eastAsia" w:asciiTheme="minorEastAsia" w:hAnsiTheme="minorEastAsia" w:eastAsiaTheme="minorEastAsia"/>
                <w:sz w:val="24"/>
              </w:rPr>
              <w:t>（4）中标人在领取《中标通知书》前应向采购代理机构缴纳采购代理服务费。凭领取人身份证复印件并加盖公章领取《中标通知书》。如采用电汇或银行转账，须同时递交采购代理服务费缴费凭证复印件</w:t>
            </w:r>
            <w:r>
              <w:rPr>
                <w:rFonts w:asciiTheme="minorEastAsia" w:hAnsiTheme="minorEastAsia" w:eastAsiaTheme="minorEastAsia"/>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986" w:type="dxa"/>
            <w:gridSpan w:val="5"/>
            <w:vAlign w:val="center"/>
          </w:tcPr>
          <w:p>
            <w:pPr>
              <w:jc w:val="center"/>
              <w:rPr>
                <w:rFonts w:asciiTheme="minorEastAsia" w:hAnsiTheme="minorEastAsia" w:eastAsiaTheme="minorEastAsia"/>
                <w:b/>
                <w:sz w:val="24"/>
              </w:rPr>
            </w:pPr>
            <w:r>
              <w:rPr>
                <w:rFonts w:hint="eastAsia" w:asciiTheme="minorEastAsia" w:hAnsiTheme="minorEastAsia" w:eastAsiaTheme="minorEastAsia"/>
                <w:b/>
                <w:sz w:val="24"/>
              </w:rPr>
              <w:t>其他说明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08"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418"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6546" w:type="dxa"/>
            <w:vAlign w:val="center"/>
          </w:tcPr>
          <w:p>
            <w:pPr>
              <w:adjustRightInd w:val="0"/>
              <w:snapToGrid w:val="0"/>
              <w:rPr>
                <w:rFonts w:cs="宋体" w:asciiTheme="minorEastAsia" w:hAnsiTheme="minorEastAsia" w:eastAsiaTheme="minorEastAsia"/>
                <w:sz w:val="24"/>
              </w:rPr>
            </w:pPr>
            <w:r>
              <w:rPr>
                <w:rFonts w:hint="eastAsia" w:asciiTheme="minorEastAsia" w:hAnsiTheme="minorEastAsia" w:eastAsiaTheme="minorEastAsia"/>
                <w:bCs/>
                <w:sz w:val="24"/>
              </w:rPr>
              <w:t>本项目相关公告在以下媒体发布:</w:t>
            </w:r>
          </w:p>
          <w:p>
            <w:pPr>
              <w:adjustRightInd w:val="0"/>
              <w:snapToGrid w:val="0"/>
              <w:rPr>
                <w:rFonts w:asciiTheme="minorEastAsia" w:hAnsiTheme="minorEastAsia" w:eastAsiaTheme="minorEastAsia"/>
                <w:sz w:val="24"/>
              </w:rPr>
            </w:pPr>
            <w:r>
              <w:rPr>
                <w:rFonts w:hint="eastAsia" w:asciiTheme="minorEastAsia" w:hAnsiTheme="minorEastAsia" w:eastAsiaTheme="minorEastAsia"/>
                <w:sz w:val="24"/>
              </w:rPr>
              <w:t>本项目相关公告在广州市白云城市开发投资集团有限公司官网（http://www.byct.cn/）、广州国企阳光采购信息发布平台（https://ygcg.gzggzy.cn/p92/index.html）上发布。相关公告在法定媒体上公布之日即视为有效送达，不再另行通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08" w:type="dxa"/>
            <w:gridSpan w:val="2"/>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418" w:type="dxa"/>
            <w:vAlign w:val="center"/>
          </w:tcPr>
          <w:p>
            <w:pPr>
              <w:jc w:val="center"/>
              <w:rPr>
                <w:rFonts w:ascii="宋体" w:hAnsi="宋体" w:cs="宋体"/>
                <w:sz w:val="24"/>
              </w:rPr>
            </w:pPr>
            <w:r>
              <w:rPr>
                <w:rFonts w:hint="eastAsia" w:ascii="宋体" w:hAnsi="宋体" w:cs="宋体"/>
                <w:sz w:val="24"/>
              </w:rPr>
              <w:t>分包</w:t>
            </w:r>
          </w:p>
        </w:tc>
        <w:tc>
          <w:tcPr>
            <w:tcW w:w="6546" w:type="dxa"/>
            <w:vAlign w:val="center"/>
          </w:tcPr>
          <w:p>
            <w:pPr>
              <w:rPr>
                <w:rFonts w:ascii="宋体" w:hAnsi="宋体" w:cs="宋体"/>
                <w:sz w:val="24"/>
              </w:rPr>
            </w:pPr>
            <w:r>
              <w:rPr>
                <w:rFonts w:hint="eastAsia" w:ascii="宋体" w:hAnsi="宋体" w:cs="宋体"/>
                <w:sz w:val="24"/>
              </w:rPr>
              <w:t>不允许</w:t>
            </w:r>
          </w:p>
        </w:tc>
      </w:tr>
    </w:tbl>
    <w:p>
      <w:pPr>
        <w:widowControl/>
        <w:jc w:val="left"/>
        <w:rPr>
          <w:rFonts w:asciiTheme="minorEastAsia" w:hAnsiTheme="minorEastAsia" w:eastAsiaTheme="minorEastAsia"/>
          <w:strike/>
          <w:sz w:val="24"/>
        </w:rPr>
      </w:pPr>
    </w:p>
    <w:p>
      <w:pPr>
        <w:widowControl/>
        <w:jc w:val="left"/>
        <w:rPr>
          <w:b/>
          <w:bCs/>
          <w:sz w:val="28"/>
          <w:szCs w:val="28"/>
        </w:rPr>
      </w:pPr>
      <w:r>
        <w:rPr>
          <w:b/>
          <w:bCs/>
          <w:sz w:val="28"/>
          <w:szCs w:val="28"/>
        </w:rPr>
        <w:br w:type="page"/>
      </w:r>
    </w:p>
    <w:p>
      <w:pPr>
        <w:snapToGrid w:val="0"/>
        <w:spacing w:line="360" w:lineRule="auto"/>
        <w:jc w:val="center"/>
        <w:outlineLvl w:val="1"/>
        <w:rPr>
          <w:b/>
          <w:bCs/>
          <w:sz w:val="28"/>
          <w:szCs w:val="28"/>
        </w:rPr>
      </w:pPr>
      <w:bookmarkStart w:id="31" w:name="_Toc1863"/>
      <w:r>
        <w:rPr>
          <w:rFonts w:hint="eastAsia"/>
          <w:b/>
          <w:bCs/>
          <w:sz w:val="28"/>
          <w:szCs w:val="28"/>
        </w:rPr>
        <w:t>第二部分  投标人须知通用条款</w:t>
      </w:r>
      <w:bookmarkEnd w:id="31"/>
    </w:p>
    <w:p>
      <w:pPr>
        <w:numPr>
          <w:ilvl w:val="0"/>
          <w:numId w:val="17"/>
        </w:numPr>
        <w:tabs>
          <w:tab w:val="left" w:pos="4395"/>
        </w:tabs>
        <w:autoSpaceDE w:val="0"/>
        <w:autoSpaceDN w:val="0"/>
        <w:adjustRightInd w:val="0"/>
        <w:snapToGrid w:val="0"/>
        <w:spacing w:line="360" w:lineRule="auto"/>
        <w:jc w:val="center"/>
        <w:outlineLvl w:val="2"/>
        <w:rPr>
          <w:rFonts w:ascii="宋体" w:hAnsi="宋体"/>
          <w:b/>
          <w:sz w:val="28"/>
          <w:szCs w:val="28"/>
        </w:rPr>
      </w:pPr>
      <w:bookmarkStart w:id="32" w:name="_Toc435516650"/>
      <w:bookmarkStart w:id="33" w:name="_Toc435174933"/>
      <w:bookmarkStart w:id="34" w:name="_Toc438223136"/>
      <w:bookmarkStart w:id="35" w:name="_Toc8264"/>
      <w:r>
        <w:rPr>
          <w:rFonts w:hint="eastAsia" w:ascii="宋体" w:hAnsi="宋体"/>
          <w:b/>
          <w:sz w:val="28"/>
          <w:szCs w:val="28"/>
        </w:rPr>
        <w:t>总</w:t>
      </w:r>
      <w:bookmarkEnd w:id="32"/>
      <w:bookmarkEnd w:id="33"/>
      <w:bookmarkEnd w:id="34"/>
      <w:bookmarkStart w:id="36" w:name="_Toc292267791"/>
      <w:r>
        <w:rPr>
          <w:rFonts w:hint="eastAsia" w:ascii="宋体" w:hAnsi="宋体"/>
          <w:b/>
          <w:sz w:val="28"/>
          <w:szCs w:val="28"/>
        </w:rPr>
        <w:t>则</w:t>
      </w:r>
      <w:bookmarkEnd w:id="35"/>
    </w:p>
    <w:bookmarkEnd w:id="36"/>
    <w:p>
      <w:pPr>
        <w:numPr>
          <w:ilvl w:val="0"/>
          <w:numId w:val="18"/>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适用范围</w:t>
      </w:r>
    </w:p>
    <w:p>
      <w:pPr>
        <w:numPr>
          <w:ilvl w:val="1"/>
          <w:numId w:val="18"/>
        </w:numPr>
        <w:autoSpaceDE w:val="0"/>
        <w:autoSpaceDN w:val="0"/>
        <w:adjustRightInd w:val="0"/>
        <w:snapToGrid w:val="0"/>
        <w:spacing w:line="360" w:lineRule="auto"/>
        <w:jc w:val="left"/>
        <w:rPr>
          <w:rFonts w:ascii="宋体" w:hAnsi="宋体"/>
          <w:b/>
          <w:bCs/>
          <w:sz w:val="24"/>
        </w:rPr>
      </w:pPr>
      <w:r>
        <w:rPr>
          <w:rFonts w:hint="eastAsia" w:ascii="宋体" w:hAnsi="宋体"/>
          <w:sz w:val="24"/>
        </w:rPr>
        <w:t>本招标文件适用于</w:t>
      </w:r>
      <w:r>
        <w:rPr>
          <w:rFonts w:hint="eastAsia" w:ascii="宋体" w:hAnsi="宋体"/>
          <w:b/>
          <w:sz w:val="24"/>
        </w:rPr>
        <w:t>采购公告</w:t>
      </w:r>
      <w:r>
        <w:rPr>
          <w:rFonts w:hint="eastAsia" w:ascii="宋体" w:hAnsi="宋体"/>
          <w:sz w:val="24"/>
        </w:rPr>
        <w:t>中所述项目的采购项目。</w:t>
      </w:r>
    </w:p>
    <w:p>
      <w:pPr>
        <w:numPr>
          <w:ilvl w:val="0"/>
          <w:numId w:val="18"/>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定义</w:t>
      </w:r>
    </w:p>
    <w:p>
      <w:pPr>
        <w:numPr>
          <w:ilvl w:val="1"/>
          <w:numId w:val="18"/>
        </w:numPr>
        <w:autoSpaceDE w:val="0"/>
        <w:autoSpaceDN w:val="0"/>
        <w:adjustRightInd w:val="0"/>
        <w:snapToGrid w:val="0"/>
        <w:spacing w:line="360" w:lineRule="auto"/>
        <w:rPr>
          <w:rFonts w:ascii="宋体" w:hAnsi="宋体" w:cs="黑体"/>
          <w:b/>
          <w:bCs/>
          <w:sz w:val="24"/>
        </w:rPr>
      </w:pPr>
      <w:r>
        <w:rPr>
          <w:rFonts w:hint="eastAsia" w:ascii="宋体" w:hAnsi="宋体"/>
          <w:sz w:val="24"/>
        </w:rPr>
        <w:t>采购监督管理部门指</w:t>
      </w:r>
      <w:r>
        <w:rPr>
          <w:rFonts w:hint="eastAsia" w:ascii="宋体" w:hAnsi="宋体"/>
          <w:b/>
          <w:sz w:val="24"/>
        </w:rPr>
        <w:t>广州市白云城市开发投资集团有限公司</w:t>
      </w:r>
      <w:r>
        <w:rPr>
          <w:rFonts w:hint="eastAsia" w:ascii="宋体" w:hAnsi="宋体" w:cs="宋体"/>
          <w:sz w:val="24"/>
        </w:rPr>
        <w:t>。</w:t>
      </w:r>
    </w:p>
    <w:p>
      <w:pPr>
        <w:numPr>
          <w:ilvl w:val="1"/>
          <w:numId w:val="18"/>
        </w:numPr>
        <w:autoSpaceDE w:val="0"/>
        <w:autoSpaceDN w:val="0"/>
        <w:adjustRightInd w:val="0"/>
        <w:snapToGrid w:val="0"/>
        <w:spacing w:line="360" w:lineRule="auto"/>
        <w:rPr>
          <w:rFonts w:ascii="宋体" w:hAnsi="宋体"/>
          <w:sz w:val="24"/>
        </w:rPr>
      </w:pPr>
      <w:r>
        <w:rPr>
          <w:rFonts w:hint="eastAsia" w:ascii="宋体" w:hAnsi="宋体"/>
          <w:sz w:val="24"/>
        </w:rPr>
        <w:t>采购人指</w:t>
      </w:r>
      <w:r>
        <w:rPr>
          <w:rFonts w:hint="eastAsia" w:ascii="宋体" w:hAnsi="宋体"/>
          <w:b/>
          <w:sz w:val="24"/>
        </w:rPr>
        <w:t>采购公告</w:t>
      </w:r>
      <w:r>
        <w:rPr>
          <w:rFonts w:hint="eastAsia" w:ascii="宋体" w:hAnsi="宋体"/>
          <w:sz w:val="24"/>
        </w:rPr>
        <w:t>中所述项目的采购人。</w:t>
      </w:r>
      <w:r>
        <w:rPr>
          <w:rFonts w:hint="eastAsia" w:ascii="宋体" w:hAnsi="宋体" w:cs="宋体"/>
          <w:sz w:val="24"/>
        </w:rPr>
        <w:t>本招标文件中所述的采购人已拥有一笔财政性资金/贷款或资金来源已落实。采购人计划将一部分或全部资金/贷款用于支付本次招标后所签订合同项下的款项。</w:t>
      </w:r>
    </w:p>
    <w:p>
      <w:pPr>
        <w:numPr>
          <w:ilvl w:val="1"/>
          <w:numId w:val="18"/>
        </w:numPr>
        <w:autoSpaceDE w:val="0"/>
        <w:autoSpaceDN w:val="0"/>
        <w:adjustRightInd w:val="0"/>
        <w:snapToGrid w:val="0"/>
        <w:spacing w:line="360" w:lineRule="auto"/>
        <w:rPr>
          <w:rFonts w:ascii="宋体" w:hAnsi="宋体"/>
          <w:strike/>
          <w:sz w:val="24"/>
        </w:rPr>
      </w:pPr>
      <w:r>
        <w:rPr>
          <w:rFonts w:hint="eastAsia" w:ascii="宋体" w:hAnsi="宋体"/>
          <w:sz w:val="24"/>
        </w:rPr>
        <w:t>采购代理机构指按照规定办理名录登记并通过审核的代理机构，其联系方式见</w:t>
      </w:r>
      <w:r>
        <w:rPr>
          <w:rFonts w:hint="eastAsia" w:ascii="宋体" w:hAnsi="宋体"/>
          <w:b/>
          <w:sz w:val="24"/>
        </w:rPr>
        <w:t>采购公告</w:t>
      </w:r>
      <w:r>
        <w:rPr>
          <w:rFonts w:hint="eastAsia" w:ascii="宋体" w:hAnsi="宋体"/>
          <w:sz w:val="24"/>
        </w:rPr>
        <w:t>的联系事项。</w:t>
      </w:r>
    </w:p>
    <w:p>
      <w:pPr>
        <w:numPr>
          <w:ilvl w:val="1"/>
          <w:numId w:val="18"/>
        </w:numPr>
        <w:autoSpaceDE w:val="0"/>
        <w:autoSpaceDN w:val="0"/>
        <w:adjustRightInd w:val="0"/>
        <w:snapToGrid w:val="0"/>
        <w:spacing w:line="360" w:lineRule="auto"/>
        <w:rPr>
          <w:rFonts w:ascii="宋体" w:hAnsi="宋体"/>
          <w:sz w:val="24"/>
        </w:rPr>
      </w:pPr>
      <w:r>
        <w:rPr>
          <w:rFonts w:hint="eastAsia" w:ascii="宋体" w:hAnsi="宋体"/>
          <w:sz w:val="24"/>
        </w:rPr>
        <w:t>供应商是指在中华人民共和国境内注册（登记），向采购人提供货物、工程或者服务的法人、其他组织或者自然人。</w:t>
      </w:r>
    </w:p>
    <w:p>
      <w:pPr>
        <w:numPr>
          <w:ilvl w:val="1"/>
          <w:numId w:val="18"/>
        </w:numPr>
        <w:autoSpaceDE w:val="0"/>
        <w:autoSpaceDN w:val="0"/>
        <w:adjustRightInd w:val="0"/>
        <w:snapToGrid w:val="0"/>
        <w:spacing w:line="360" w:lineRule="auto"/>
        <w:rPr>
          <w:rFonts w:ascii="宋体" w:hAnsi="宋体"/>
          <w:sz w:val="24"/>
        </w:rPr>
      </w:pPr>
      <w:r>
        <w:rPr>
          <w:rFonts w:hint="eastAsia" w:ascii="宋体" w:hAnsi="宋体"/>
          <w:sz w:val="24"/>
        </w:rPr>
        <w:t>投标人是指响应招标、参加投标竞争的法人、其他组织或者自然人。</w:t>
      </w:r>
    </w:p>
    <w:p>
      <w:pPr>
        <w:numPr>
          <w:ilvl w:val="1"/>
          <w:numId w:val="18"/>
        </w:numPr>
        <w:autoSpaceDE w:val="0"/>
        <w:autoSpaceDN w:val="0"/>
        <w:adjustRightInd w:val="0"/>
        <w:snapToGrid w:val="0"/>
        <w:spacing w:line="360" w:lineRule="auto"/>
        <w:rPr>
          <w:rFonts w:ascii="宋体" w:hAnsi="宋体"/>
          <w:sz w:val="24"/>
        </w:rPr>
      </w:pPr>
      <w:r>
        <w:rPr>
          <w:rFonts w:hint="eastAsia" w:ascii="宋体" w:hAnsi="宋体"/>
          <w:sz w:val="24"/>
        </w:rPr>
        <w:t>中标</w:t>
      </w:r>
      <w:r>
        <w:rPr>
          <w:rFonts w:ascii="宋体" w:hAnsi="宋体"/>
          <w:sz w:val="24"/>
        </w:rPr>
        <w:t>人</w:t>
      </w:r>
      <w:r>
        <w:rPr>
          <w:rFonts w:hint="eastAsia" w:ascii="宋体" w:hAnsi="宋体"/>
          <w:sz w:val="24"/>
        </w:rPr>
        <w:t>是指经法定程序确定并授予合同的投标人。</w:t>
      </w:r>
    </w:p>
    <w:p>
      <w:pPr>
        <w:numPr>
          <w:ilvl w:val="0"/>
          <w:numId w:val="18"/>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合格的货物和服务</w:t>
      </w:r>
    </w:p>
    <w:p>
      <w:pPr>
        <w:numPr>
          <w:ilvl w:val="1"/>
          <w:numId w:val="18"/>
        </w:numPr>
        <w:autoSpaceDE w:val="0"/>
        <w:autoSpaceDN w:val="0"/>
        <w:adjustRightInd w:val="0"/>
        <w:snapToGrid w:val="0"/>
        <w:spacing w:line="360" w:lineRule="auto"/>
        <w:rPr>
          <w:rFonts w:ascii="宋体" w:hAnsi="宋体" w:cs="黑体"/>
          <w:b/>
          <w:bCs/>
          <w:sz w:val="24"/>
        </w:rPr>
      </w:pPr>
      <w:r>
        <w:rPr>
          <w:rFonts w:hint="eastAsia" w:ascii="宋体" w:hAnsi="宋体"/>
          <w:sz w:val="24"/>
        </w:rPr>
        <w:t>货物是指投标人制造或组织符合招标文件要求的货物等。投标的货物必须是其合法生产、合法来源的符合国家有关标准要求的货物，并满足招标文件规定的规格、参数、质量、价格、有效期、售后服务等实质性要求，其中包括但不仅仅限于投标人须承担的与供货有关的辅助服务，如运输、保险、安装、调试、提供技术援助、培训和招标文件规定的投标人应承担的其它义务。</w:t>
      </w:r>
    </w:p>
    <w:p>
      <w:pPr>
        <w:numPr>
          <w:ilvl w:val="1"/>
          <w:numId w:val="18"/>
        </w:numPr>
        <w:autoSpaceDE w:val="0"/>
        <w:autoSpaceDN w:val="0"/>
        <w:adjustRightInd w:val="0"/>
        <w:snapToGrid w:val="0"/>
        <w:spacing w:line="360" w:lineRule="auto"/>
        <w:rPr>
          <w:rFonts w:ascii="宋体" w:hAnsi="宋体"/>
          <w:sz w:val="24"/>
        </w:rPr>
      </w:pPr>
      <w:r>
        <w:rPr>
          <w:rFonts w:hint="eastAsia" w:ascii="宋体" w:hAnsi="宋体"/>
          <w:sz w:val="24"/>
        </w:rPr>
        <w:t>服务是指除货物和工程以外的其他采购对象，且满足实质性采购需求。</w:t>
      </w:r>
    </w:p>
    <w:p>
      <w:pPr>
        <w:numPr>
          <w:ilvl w:val="1"/>
          <w:numId w:val="18"/>
        </w:numPr>
        <w:autoSpaceDE w:val="0"/>
        <w:autoSpaceDN w:val="0"/>
        <w:adjustRightInd w:val="0"/>
        <w:snapToGrid w:val="0"/>
        <w:spacing w:line="360" w:lineRule="auto"/>
        <w:rPr>
          <w:rFonts w:ascii="宋体" w:hAnsi="宋体"/>
          <w:sz w:val="24"/>
        </w:rPr>
      </w:pPr>
      <w:r>
        <w:rPr>
          <w:rFonts w:hint="eastAsia" w:ascii="宋体" w:hAnsi="宋体"/>
          <w:sz w:val="24"/>
        </w:rPr>
        <w:t>进口产品是指通过中国海关报关验放进入中国境内且产自关境外的产品</w:t>
      </w:r>
      <w:bookmarkStart w:id="37" w:name="_Toc211763038"/>
      <w:r>
        <w:rPr>
          <w:rFonts w:hint="eastAsia" w:ascii="宋体" w:hAnsi="宋体"/>
          <w:sz w:val="24"/>
        </w:rPr>
        <w:t>。依据</w:t>
      </w:r>
      <w:bookmarkEnd w:id="37"/>
      <w:r>
        <w:rPr>
          <w:rFonts w:hint="eastAsia" w:ascii="宋体" w:hAnsi="宋体"/>
          <w:sz w:val="24"/>
          <w:lang w:val="en-US" w:eastAsia="zh-CN"/>
        </w:rPr>
        <w:t>有关规定</w:t>
      </w:r>
      <w:r>
        <w:rPr>
          <w:rFonts w:hint="eastAsia" w:ascii="宋体" w:hAnsi="宋体"/>
          <w:sz w:val="24"/>
        </w:rPr>
        <w:t>优先采购向我国企业转让技术、与我国企业签订消化吸收再创新方案的投标人的进口产品。</w:t>
      </w:r>
    </w:p>
    <w:p>
      <w:pPr>
        <w:numPr>
          <w:ilvl w:val="0"/>
          <w:numId w:val="18"/>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投标费用</w:t>
      </w:r>
    </w:p>
    <w:p>
      <w:pPr>
        <w:numPr>
          <w:ilvl w:val="1"/>
          <w:numId w:val="18"/>
        </w:numPr>
        <w:autoSpaceDE w:val="0"/>
        <w:autoSpaceDN w:val="0"/>
        <w:adjustRightInd w:val="0"/>
        <w:snapToGrid w:val="0"/>
        <w:spacing w:line="360" w:lineRule="auto"/>
        <w:rPr>
          <w:rFonts w:ascii="宋体" w:hAnsi="宋体" w:cs="黑体"/>
          <w:b/>
          <w:bCs/>
          <w:sz w:val="24"/>
        </w:rPr>
      </w:pPr>
      <w:r>
        <w:rPr>
          <w:rFonts w:hint="eastAsia" w:ascii="宋体" w:hAnsi="宋体" w:cs="宋体"/>
          <w:sz w:val="24"/>
        </w:rPr>
        <w:t>投标人应承担所有与准备和参加投标有关的费用。不论投标的结果如何，本招标文件中所述的采购人或者采购代理机构均无义务和责任承担这些费用。</w:t>
      </w:r>
    </w:p>
    <w:p>
      <w:pPr>
        <w:numPr>
          <w:ilvl w:val="0"/>
          <w:numId w:val="18"/>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其他</w:t>
      </w:r>
    </w:p>
    <w:p>
      <w:pPr>
        <w:numPr>
          <w:ilvl w:val="1"/>
          <w:numId w:val="18"/>
        </w:numPr>
        <w:autoSpaceDE w:val="0"/>
        <w:autoSpaceDN w:val="0"/>
        <w:adjustRightInd w:val="0"/>
        <w:snapToGrid w:val="0"/>
        <w:spacing w:line="360" w:lineRule="auto"/>
        <w:rPr>
          <w:rFonts w:ascii="宋体" w:hAnsi="宋体" w:cs="宋体"/>
          <w:sz w:val="24"/>
        </w:rPr>
      </w:pPr>
      <w:r>
        <w:rPr>
          <w:rFonts w:hint="eastAsia" w:ascii="宋体" w:hAnsi="宋体" w:cs="宋体"/>
          <w:sz w:val="24"/>
        </w:rPr>
        <w:t>所有时间均为24小时制北京时间，所有货币单位均为人民币元，所使用的计量单位均以《中华人民共和国法定计量单位》为准（特别注明除外）。</w:t>
      </w:r>
    </w:p>
    <w:p>
      <w:pPr>
        <w:numPr>
          <w:ilvl w:val="1"/>
          <w:numId w:val="18"/>
        </w:numPr>
        <w:autoSpaceDE w:val="0"/>
        <w:autoSpaceDN w:val="0"/>
        <w:adjustRightInd w:val="0"/>
        <w:snapToGrid w:val="0"/>
        <w:spacing w:line="360" w:lineRule="auto"/>
        <w:rPr>
          <w:rFonts w:ascii="宋体" w:hAnsi="宋体" w:cs="宋体"/>
          <w:sz w:val="24"/>
        </w:rPr>
      </w:pPr>
      <w:r>
        <w:rPr>
          <w:rFonts w:hint="eastAsia" w:ascii="宋体" w:hAnsi="宋体" w:cs="宋体"/>
          <w:sz w:val="24"/>
        </w:rPr>
        <w:t>投标人（投标人）向本招标文件中所述的采购代理机构咨询的有关本招标项目事项，一切以法律法规的规定和本公司书面答复为准，其他一切形式均为个人意见，不代表本公司的意见。</w:t>
      </w:r>
    </w:p>
    <w:p>
      <w:pPr>
        <w:numPr>
          <w:ilvl w:val="0"/>
          <w:numId w:val="17"/>
        </w:numPr>
        <w:tabs>
          <w:tab w:val="left" w:pos="4395"/>
        </w:tabs>
        <w:autoSpaceDE w:val="0"/>
        <w:autoSpaceDN w:val="0"/>
        <w:adjustRightInd w:val="0"/>
        <w:snapToGrid w:val="0"/>
        <w:spacing w:line="360" w:lineRule="auto"/>
        <w:jc w:val="center"/>
        <w:outlineLvl w:val="2"/>
        <w:rPr>
          <w:rFonts w:ascii="宋体" w:hAnsi="宋体"/>
          <w:b/>
          <w:sz w:val="28"/>
          <w:szCs w:val="28"/>
          <w:lang w:eastAsia="zh-TW"/>
        </w:rPr>
      </w:pPr>
      <w:bookmarkStart w:id="38" w:name="_Toc435516651"/>
      <w:bookmarkStart w:id="39" w:name="_Toc438223137"/>
      <w:bookmarkStart w:id="40" w:name="_Toc435174934"/>
      <w:bookmarkStart w:id="41" w:name="_Toc7626"/>
      <w:r>
        <w:rPr>
          <w:rFonts w:hint="eastAsia" w:ascii="宋体" w:hAnsi="宋体"/>
          <w:b/>
          <w:sz w:val="28"/>
          <w:szCs w:val="28"/>
          <w:lang w:eastAsia="zh-TW"/>
        </w:rPr>
        <w:t>招标文件</w:t>
      </w:r>
      <w:bookmarkEnd w:id="38"/>
      <w:bookmarkEnd w:id="39"/>
      <w:bookmarkEnd w:id="40"/>
      <w:bookmarkEnd w:id="41"/>
    </w:p>
    <w:p>
      <w:pPr>
        <w:numPr>
          <w:ilvl w:val="0"/>
          <w:numId w:val="19"/>
        </w:numPr>
        <w:autoSpaceDE w:val="0"/>
        <w:autoSpaceDN w:val="0"/>
        <w:adjustRightInd w:val="0"/>
        <w:snapToGrid w:val="0"/>
        <w:spacing w:line="360" w:lineRule="auto"/>
        <w:outlineLvl w:val="3"/>
        <w:rPr>
          <w:rFonts w:ascii="宋体" w:hAnsi="宋体"/>
          <w:b/>
          <w:bCs/>
          <w:sz w:val="24"/>
        </w:rPr>
      </w:pPr>
      <w:r>
        <w:rPr>
          <w:rFonts w:hint="eastAsia" w:ascii="宋体" w:hAnsi="宋体"/>
          <w:b/>
          <w:bCs/>
          <w:sz w:val="24"/>
        </w:rPr>
        <w:t>招标文件的编制依据与构成</w:t>
      </w:r>
    </w:p>
    <w:p>
      <w:pPr>
        <w:numPr>
          <w:ilvl w:val="1"/>
          <w:numId w:val="19"/>
        </w:numPr>
        <w:autoSpaceDE w:val="0"/>
        <w:autoSpaceDN w:val="0"/>
        <w:adjustRightInd w:val="0"/>
        <w:snapToGrid w:val="0"/>
        <w:spacing w:line="360" w:lineRule="auto"/>
        <w:rPr>
          <w:rFonts w:ascii="宋体" w:hAnsi="宋体"/>
          <w:sz w:val="24"/>
        </w:rPr>
      </w:pPr>
      <w:r>
        <w:rPr>
          <w:rFonts w:hint="eastAsia" w:ascii="宋体" w:hAnsi="宋体"/>
          <w:sz w:val="24"/>
        </w:rPr>
        <w:t>本招标文件的编制依据：参照</w:t>
      </w:r>
      <w:r>
        <w:rPr>
          <w:rFonts w:hint="eastAsia" w:ascii="宋体" w:hAnsi="宋体"/>
          <w:sz w:val="24"/>
          <w:lang w:eastAsia="zh-CN"/>
        </w:rPr>
        <w:t>《</w:t>
      </w:r>
      <w:r>
        <w:rPr>
          <w:rFonts w:hint="eastAsia" w:ascii="宋体" w:hAnsi="宋体"/>
          <w:sz w:val="24"/>
          <w:lang w:val="en-US" w:eastAsia="zh-CN"/>
        </w:rPr>
        <w:t>中华人民共和国招标投标法</w:t>
      </w:r>
      <w:r>
        <w:rPr>
          <w:rFonts w:hint="eastAsia" w:ascii="宋体" w:hAnsi="宋体"/>
          <w:sz w:val="24"/>
          <w:lang w:eastAsia="zh-CN"/>
        </w:rPr>
        <w:t>》、《</w:t>
      </w:r>
      <w:r>
        <w:rPr>
          <w:rFonts w:hint="eastAsia" w:ascii="宋体" w:hAnsi="宋体"/>
          <w:sz w:val="24"/>
          <w:lang w:val="en-US" w:eastAsia="zh-CN"/>
        </w:rPr>
        <w:t>中华人民共和国招标投标法实施条例</w:t>
      </w:r>
      <w:r>
        <w:rPr>
          <w:rFonts w:hint="eastAsia" w:ascii="宋体" w:hAnsi="宋体"/>
          <w:sz w:val="24"/>
          <w:lang w:eastAsia="zh-CN"/>
        </w:rPr>
        <w:t>》</w:t>
      </w:r>
      <w:r>
        <w:rPr>
          <w:rFonts w:hint="eastAsia" w:ascii="宋体" w:hAnsi="宋体"/>
          <w:sz w:val="24"/>
        </w:rPr>
        <w:t>及其配套的法规、规章、政策等。</w:t>
      </w:r>
    </w:p>
    <w:p>
      <w:pPr>
        <w:numPr>
          <w:ilvl w:val="1"/>
          <w:numId w:val="19"/>
        </w:numPr>
        <w:autoSpaceDE w:val="0"/>
        <w:autoSpaceDN w:val="0"/>
        <w:adjustRightInd w:val="0"/>
        <w:snapToGrid w:val="0"/>
        <w:spacing w:line="360" w:lineRule="auto"/>
        <w:rPr>
          <w:rFonts w:ascii="宋体" w:hAnsi="宋体"/>
          <w:sz w:val="24"/>
        </w:rPr>
      </w:pPr>
      <w:r>
        <w:rPr>
          <w:rFonts w:hint="eastAsia" w:ascii="宋体" w:hAnsi="宋体" w:cs="宋体"/>
          <w:sz w:val="24"/>
        </w:rPr>
        <w:t>招标文件以中文文字编写。招标文件共六章。由下列文件以及在招标过程中发出的招标答疑和澄清或修改文件组成，内容如下：</w:t>
      </w:r>
    </w:p>
    <w:p>
      <w:pPr>
        <w:snapToGrid w:val="0"/>
        <w:spacing w:line="360" w:lineRule="auto"/>
        <w:ind w:left="445" w:leftChars="212" w:firstLine="1"/>
        <w:rPr>
          <w:rFonts w:ascii="宋体" w:hAnsi="宋体"/>
          <w:b/>
          <w:sz w:val="24"/>
        </w:rPr>
      </w:pPr>
      <w:r>
        <w:rPr>
          <w:rFonts w:hint="eastAsia" w:ascii="宋体" w:hAnsi="宋体" w:cs="宋体"/>
          <w:b/>
          <w:sz w:val="24"/>
        </w:rPr>
        <w:t>第一章　投标邀请</w:t>
      </w:r>
    </w:p>
    <w:p>
      <w:pPr>
        <w:snapToGrid w:val="0"/>
        <w:spacing w:line="360" w:lineRule="auto"/>
        <w:ind w:left="445" w:leftChars="212" w:firstLine="1"/>
        <w:rPr>
          <w:rFonts w:ascii="宋体" w:hAnsi="宋体"/>
          <w:b/>
          <w:sz w:val="24"/>
        </w:rPr>
      </w:pPr>
      <w:r>
        <w:rPr>
          <w:rFonts w:hint="eastAsia" w:ascii="宋体" w:hAnsi="宋体" w:cs="宋体"/>
          <w:b/>
          <w:sz w:val="24"/>
        </w:rPr>
        <w:t>第二章　用户需求书</w:t>
      </w:r>
    </w:p>
    <w:p>
      <w:pPr>
        <w:tabs>
          <w:tab w:val="left" w:pos="3915"/>
        </w:tabs>
        <w:snapToGrid w:val="0"/>
        <w:spacing w:line="360" w:lineRule="auto"/>
        <w:ind w:left="445" w:leftChars="212" w:firstLine="1"/>
        <w:rPr>
          <w:rFonts w:ascii="宋体" w:hAnsi="宋体" w:cs="宋体"/>
          <w:b/>
          <w:sz w:val="24"/>
        </w:rPr>
      </w:pPr>
      <w:r>
        <w:rPr>
          <w:rFonts w:hint="eastAsia" w:ascii="宋体" w:hAnsi="宋体" w:cs="宋体"/>
          <w:b/>
          <w:sz w:val="24"/>
        </w:rPr>
        <w:t>第三章　评标方法和标准</w:t>
      </w:r>
    </w:p>
    <w:p>
      <w:pPr>
        <w:snapToGrid w:val="0"/>
        <w:spacing w:line="360" w:lineRule="auto"/>
        <w:ind w:left="445" w:leftChars="212" w:firstLine="1"/>
        <w:rPr>
          <w:rFonts w:ascii="宋体" w:hAnsi="宋体"/>
          <w:b/>
          <w:sz w:val="24"/>
        </w:rPr>
      </w:pPr>
      <w:r>
        <w:rPr>
          <w:rFonts w:hint="eastAsia" w:ascii="宋体" w:hAnsi="宋体" w:cs="宋体"/>
          <w:b/>
          <w:sz w:val="24"/>
        </w:rPr>
        <w:t>第四章　投标人须知</w:t>
      </w:r>
    </w:p>
    <w:p>
      <w:pPr>
        <w:snapToGrid w:val="0"/>
        <w:spacing w:line="360" w:lineRule="auto"/>
        <w:ind w:left="445" w:leftChars="212" w:firstLine="1"/>
        <w:rPr>
          <w:rFonts w:ascii="宋体" w:hAnsi="宋体"/>
          <w:b/>
          <w:sz w:val="24"/>
        </w:rPr>
      </w:pPr>
      <w:r>
        <w:rPr>
          <w:rFonts w:hint="eastAsia" w:ascii="宋体" w:hAnsi="宋体" w:cs="宋体"/>
          <w:b/>
          <w:sz w:val="24"/>
        </w:rPr>
        <w:t>第五章　合同格式条款</w:t>
      </w:r>
    </w:p>
    <w:p>
      <w:pPr>
        <w:snapToGrid w:val="0"/>
        <w:spacing w:line="360" w:lineRule="auto"/>
        <w:ind w:left="445" w:leftChars="212" w:firstLine="1"/>
        <w:rPr>
          <w:rFonts w:ascii="宋体" w:hAnsi="宋体" w:cs="宋体"/>
          <w:b/>
          <w:sz w:val="24"/>
        </w:rPr>
      </w:pPr>
      <w:r>
        <w:rPr>
          <w:rFonts w:hint="eastAsia" w:ascii="宋体" w:hAnsi="宋体" w:cs="宋体"/>
          <w:b/>
          <w:sz w:val="24"/>
          <w:lang w:eastAsia="zh-TW"/>
        </w:rPr>
        <w:t>第</w:t>
      </w:r>
      <w:r>
        <w:rPr>
          <w:rFonts w:hint="eastAsia" w:ascii="宋体" w:hAnsi="宋体" w:cs="宋体"/>
          <w:b/>
          <w:sz w:val="24"/>
        </w:rPr>
        <w:t>六</w:t>
      </w:r>
      <w:r>
        <w:rPr>
          <w:rFonts w:hint="eastAsia" w:ascii="宋体" w:hAnsi="宋体" w:cs="宋体"/>
          <w:b/>
          <w:sz w:val="24"/>
          <w:lang w:eastAsia="zh-TW"/>
        </w:rPr>
        <w:t>章</w:t>
      </w:r>
      <w:r>
        <w:rPr>
          <w:rFonts w:hint="eastAsia" w:ascii="宋体" w:hAnsi="宋体" w:cs="宋体"/>
          <w:b/>
          <w:sz w:val="24"/>
        </w:rPr>
        <w:t>　投标文件格式</w:t>
      </w:r>
    </w:p>
    <w:p>
      <w:pPr>
        <w:numPr>
          <w:ilvl w:val="1"/>
          <w:numId w:val="19"/>
        </w:numPr>
        <w:autoSpaceDE w:val="0"/>
        <w:autoSpaceDN w:val="0"/>
        <w:adjustRightInd w:val="0"/>
        <w:snapToGrid w:val="0"/>
        <w:spacing w:line="360" w:lineRule="auto"/>
        <w:jc w:val="left"/>
        <w:rPr>
          <w:rFonts w:ascii="宋体" w:hAnsi="宋体" w:cs="宋体"/>
          <w:sz w:val="24"/>
        </w:rPr>
      </w:pPr>
      <w:r>
        <w:rPr>
          <w:rFonts w:hint="eastAsia" w:ascii="宋体" w:hAnsi="宋体" w:cs="宋体"/>
          <w:sz w:val="24"/>
        </w:rPr>
        <w:t>本招标文件的解释权归本招标文件中所述的采购人、采购代理机构所有。</w:t>
      </w:r>
    </w:p>
    <w:p>
      <w:pPr>
        <w:numPr>
          <w:ilvl w:val="0"/>
          <w:numId w:val="19"/>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招标文件的澄清或修改</w:t>
      </w:r>
    </w:p>
    <w:p>
      <w:pPr>
        <w:numPr>
          <w:ilvl w:val="1"/>
          <w:numId w:val="19"/>
        </w:numPr>
        <w:autoSpaceDE w:val="0"/>
        <w:autoSpaceDN w:val="0"/>
        <w:adjustRightInd w:val="0"/>
        <w:snapToGrid w:val="0"/>
        <w:spacing w:line="360" w:lineRule="auto"/>
        <w:rPr>
          <w:rFonts w:ascii="宋体" w:hAnsi="宋体" w:cs="宋体"/>
          <w:sz w:val="24"/>
        </w:rPr>
      </w:pPr>
      <w:r>
        <w:rPr>
          <w:rFonts w:hint="eastAsia" w:ascii="宋体" w:hAnsi="宋体" w:cs="宋体"/>
          <w:sz w:val="24"/>
        </w:rPr>
        <w:t>采购人或者采购代理机构可以对已发出的招标文件进行必要的澄清或修改。</w:t>
      </w:r>
      <w:r>
        <w:rPr>
          <w:rFonts w:hint="eastAsia" w:ascii="宋体" w:hAnsi="宋体"/>
          <w:sz w:val="24"/>
        </w:rPr>
        <w:t>招标文件的澄清或修改均以</w:t>
      </w:r>
      <w:r>
        <w:rPr>
          <w:rFonts w:hint="eastAsia" w:ascii="宋体" w:hAnsi="宋体" w:cs="宋体"/>
          <w:sz w:val="24"/>
        </w:rPr>
        <w:t>书面形式明确的内容为准。当招标文件的澄清、修改、补充等在同一内容的表述不一致时，以最后发出的书面形式的文件为准。</w:t>
      </w:r>
    </w:p>
    <w:p>
      <w:pPr>
        <w:numPr>
          <w:ilvl w:val="1"/>
          <w:numId w:val="19"/>
        </w:numPr>
        <w:autoSpaceDE w:val="0"/>
        <w:autoSpaceDN w:val="0"/>
        <w:adjustRightInd w:val="0"/>
        <w:snapToGrid w:val="0"/>
        <w:spacing w:line="360" w:lineRule="auto"/>
        <w:rPr>
          <w:rFonts w:ascii="宋体" w:hAnsi="宋体" w:cs="宋体"/>
          <w:sz w:val="24"/>
        </w:rPr>
      </w:pPr>
      <w:r>
        <w:rPr>
          <w:rFonts w:hint="eastAsia" w:ascii="宋体" w:hAnsi="宋体" w:cs="宋体"/>
          <w:sz w:val="24"/>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numPr>
          <w:ilvl w:val="1"/>
          <w:numId w:val="19"/>
        </w:numPr>
        <w:autoSpaceDE w:val="0"/>
        <w:autoSpaceDN w:val="0"/>
        <w:adjustRightInd w:val="0"/>
        <w:snapToGrid w:val="0"/>
        <w:spacing w:line="360" w:lineRule="auto"/>
        <w:rPr>
          <w:rFonts w:ascii="宋体" w:hAnsi="宋体" w:cs="宋体"/>
          <w:sz w:val="24"/>
        </w:rPr>
      </w:pPr>
      <w:r>
        <w:rPr>
          <w:rFonts w:hint="eastAsia" w:ascii="宋体" w:hAnsi="宋体" w:cs="宋体"/>
          <w:sz w:val="24"/>
        </w:rPr>
        <w:t>采购人或者采购代理机构将澄清</w:t>
      </w:r>
      <w:r>
        <w:rPr>
          <w:rFonts w:hint="eastAsia" w:ascii="宋体" w:hAnsi="宋体"/>
          <w:sz w:val="24"/>
        </w:rPr>
        <w:t>（更正/变更）</w:t>
      </w:r>
      <w:r>
        <w:rPr>
          <w:rFonts w:hint="eastAsia" w:ascii="宋体" w:hAnsi="宋体" w:cs="宋体"/>
          <w:sz w:val="24"/>
        </w:rPr>
        <w:t>公告</w:t>
      </w:r>
      <w:r>
        <w:rPr>
          <w:rFonts w:hint="eastAsia" w:ascii="宋体" w:hAnsi="宋体"/>
          <w:sz w:val="24"/>
        </w:rPr>
        <w:t>通知</w:t>
      </w:r>
      <w:r>
        <w:rPr>
          <w:rFonts w:hint="eastAsia"/>
          <w:bCs/>
          <w:sz w:val="24"/>
        </w:rPr>
        <w:t>成功投标登记招标文件</w:t>
      </w:r>
      <w:r>
        <w:rPr>
          <w:rFonts w:hint="eastAsia" w:ascii="宋体" w:hAnsi="宋体"/>
          <w:sz w:val="24"/>
        </w:rPr>
        <w:t>的投标人，投标人在收到澄清或修改（更正/变更）通知后，应按要求以书面形式向采购人或者采购代理机构确认。</w:t>
      </w:r>
      <w:r>
        <w:rPr>
          <w:rFonts w:hint="eastAsia" w:ascii="宋体" w:hAnsi="宋体" w:cs="宋体"/>
          <w:sz w:val="24"/>
        </w:rPr>
        <w:t>如在24小时之内无书面</w:t>
      </w:r>
      <w:r>
        <w:rPr>
          <w:rFonts w:hint="eastAsia" w:ascii="宋体" w:hAnsi="宋体"/>
          <w:sz w:val="24"/>
        </w:rPr>
        <w:t>确认</w:t>
      </w:r>
      <w:r>
        <w:rPr>
          <w:rFonts w:hint="eastAsia" w:ascii="宋体" w:hAnsi="宋体" w:cs="宋体"/>
          <w:sz w:val="24"/>
        </w:rPr>
        <w:t>则视为已收悉，并有责任履行相应的义务。</w:t>
      </w:r>
    </w:p>
    <w:p>
      <w:pPr>
        <w:numPr>
          <w:ilvl w:val="1"/>
          <w:numId w:val="19"/>
        </w:numPr>
        <w:autoSpaceDE w:val="0"/>
        <w:autoSpaceDN w:val="0"/>
        <w:adjustRightInd w:val="0"/>
        <w:snapToGrid w:val="0"/>
        <w:spacing w:line="360" w:lineRule="auto"/>
        <w:rPr>
          <w:rFonts w:ascii="宋体" w:hAnsi="宋体" w:cs="宋体"/>
          <w:sz w:val="24"/>
        </w:rPr>
      </w:pPr>
      <w:r>
        <w:rPr>
          <w:rFonts w:hint="eastAsia" w:ascii="宋体" w:hAnsi="宋体" w:cs="宋体"/>
          <w:sz w:val="24"/>
        </w:rPr>
        <w:t>采购人或者采购代理机构发出的</w:t>
      </w:r>
      <w:r>
        <w:rPr>
          <w:rFonts w:hint="eastAsia" w:ascii="宋体" w:hAnsi="宋体"/>
          <w:sz w:val="24"/>
        </w:rPr>
        <w:t>澄清或修改（更正/变更）的内容为招标文件的组成部分，</w:t>
      </w:r>
      <w:r>
        <w:rPr>
          <w:rFonts w:hint="eastAsia" w:ascii="宋体" w:hAnsi="宋体" w:cs="宋体"/>
          <w:sz w:val="24"/>
        </w:rPr>
        <w:t>并对投标人具有约束力。</w:t>
      </w:r>
    </w:p>
    <w:p>
      <w:pPr>
        <w:numPr>
          <w:ilvl w:val="0"/>
          <w:numId w:val="19"/>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现场考察或者召开开标前答疑会</w:t>
      </w:r>
    </w:p>
    <w:p>
      <w:pPr>
        <w:numPr>
          <w:ilvl w:val="1"/>
          <w:numId w:val="19"/>
        </w:numPr>
        <w:tabs>
          <w:tab w:val="left" w:pos="851"/>
        </w:tabs>
        <w:autoSpaceDE w:val="0"/>
        <w:autoSpaceDN w:val="0"/>
        <w:adjustRightInd w:val="0"/>
        <w:snapToGrid w:val="0"/>
        <w:spacing w:line="360" w:lineRule="auto"/>
        <w:rPr>
          <w:rFonts w:ascii="宋体" w:hAnsi="宋体" w:cs="宋体"/>
          <w:sz w:val="24"/>
        </w:rPr>
      </w:pPr>
      <w:r>
        <w:rPr>
          <w:rFonts w:hint="eastAsia" w:ascii="宋体" w:hAnsi="宋体" w:cs="宋体"/>
          <w:sz w:val="24"/>
        </w:rPr>
        <w:t>除非</w:t>
      </w:r>
      <w:r>
        <w:rPr>
          <w:rFonts w:hint="eastAsia" w:ascii="宋体" w:hAnsi="宋体" w:cs="黑体"/>
          <w:b/>
          <w:sz w:val="24"/>
        </w:rPr>
        <w:t>投标人须知前附表</w:t>
      </w:r>
      <w:r>
        <w:rPr>
          <w:rFonts w:hint="eastAsia" w:ascii="宋体" w:hAnsi="宋体" w:cs="宋体"/>
          <w:sz w:val="24"/>
        </w:rPr>
        <w:t>中另有规定，否则不举行项目</w:t>
      </w:r>
      <w:r>
        <w:rPr>
          <w:rFonts w:hint="eastAsia" w:ascii="宋体" w:hAnsi="宋体"/>
          <w:bCs/>
          <w:sz w:val="24"/>
        </w:rPr>
        <w:t>现场考察或者召开开标前答疑会</w:t>
      </w:r>
      <w:r>
        <w:rPr>
          <w:rFonts w:hint="eastAsia" w:ascii="宋体" w:hAnsi="宋体" w:cs="宋体"/>
          <w:sz w:val="24"/>
        </w:rPr>
        <w:t>，如举行</w:t>
      </w:r>
      <w:r>
        <w:rPr>
          <w:rFonts w:hint="eastAsia" w:ascii="宋体" w:hAnsi="宋体"/>
          <w:bCs/>
          <w:sz w:val="24"/>
        </w:rPr>
        <w:t>现场考察或者召开开标前答疑会</w:t>
      </w:r>
      <w:r>
        <w:rPr>
          <w:rFonts w:hint="eastAsia" w:ascii="宋体" w:hAnsi="宋体" w:cs="宋体"/>
          <w:sz w:val="24"/>
        </w:rPr>
        <w:t>的，则按以下规定：</w:t>
      </w:r>
    </w:p>
    <w:p>
      <w:pPr>
        <w:numPr>
          <w:ilvl w:val="2"/>
          <w:numId w:val="19"/>
        </w:numPr>
        <w:tabs>
          <w:tab w:val="left" w:pos="851"/>
        </w:tabs>
        <w:autoSpaceDE w:val="0"/>
        <w:autoSpaceDN w:val="0"/>
        <w:adjustRightInd w:val="0"/>
        <w:snapToGrid w:val="0"/>
        <w:spacing w:line="360" w:lineRule="auto"/>
        <w:rPr>
          <w:rFonts w:ascii="宋体" w:hAnsi="宋体" w:cs="宋体"/>
          <w:sz w:val="24"/>
        </w:rPr>
      </w:pPr>
      <w:r>
        <w:rPr>
          <w:rFonts w:hint="eastAsia" w:ascii="宋体" w:hAnsi="宋体" w:cs="宋体"/>
          <w:sz w:val="24"/>
        </w:rPr>
        <w:t>在</w:t>
      </w:r>
      <w:r>
        <w:rPr>
          <w:rFonts w:hint="eastAsia" w:ascii="宋体" w:hAnsi="宋体" w:cs="黑体"/>
          <w:b/>
          <w:sz w:val="24"/>
        </w:rPr>
        <w:t>投标人须知前附表</w:t>
      </w:r>
      <w:r>
        <w:rPr>
          <w:rFonts w:hint="eastAsia" w:ascii="宋体" w:hAnsi="宋体" w:cs="宋体"/>
          <w:sz w:val="24"/>
        </w:rPr>
        <w:t>中规定的日期、时间和地点组织</w:t>
      </w:r>
      <w:r>
        <w:rPr>
          <w:rFonts w:hint="eastAsia" w:ascii="宋体" w:hAnsi="宋体"/>
          <w:bCs/>
          <w:sz w:val="24"/>
        </w:rPr>
        <w:t>现场考察或者召开开标前答疑会</w:t>
      </w:r>
      <w:r>
        <w:rPr>
          <w:rFonts w:hint="eastAsia" w:ascii="宋体" w:hAnsi="宋体" w:cs="宋体"/>
          <w:sz w:val="24"/>
        </w:rPr>
        <w:t>；</w:t>
      </w:r>
    </w:p>
    <w:p>
      <w:pPr>
        <w:numPr>
          <w:ilvl w:val="2"/>
          <w:numId w:val="19"/>
        </w:numPr>
        <w:tabs>
          <w:tab w:val="left" w:pos="851"/>
        </w:tabs>
        <w:autoSpaceDE w:val="0"/>
        <w:autoSpaceDN w:val="0"/>
        <w:adjustRightInd w:val="0"/>
        <w:snapToGrid w:val="0"/>
        <w:spacing w:line="360" w:lineRule="auto"/>
        <w:rPr>
          <w:rFonts w:ascii="宋体" w:hAnsi="宋体" w:cs="宋体"/>
          <w:sz w:val="24"/>
        </w:rPr>
      </w:pPr>
      <w:r>
        <w:rPr>
          <w:rFonts w:hint="eastAsia" w:ascii="宋体" w:hAnsi="宋体" w:cs="宋体"/>
          <w:sz w:val="24"/>
        </w:rPr>
        <w:t>投标人对本项目提出的疑问，可在</w:t>
      </w:r>
      <w:r>
        <w:rPr>
          <w:rFonts w:hint="eastAsia" w:ascii="宋体" w:hAnsi="宋体"/>
          <w:bCs/>
          <w:sz w:val="24"/>
        </w:rPr>
        <w:t>现场考察或者召开开标前答疑会</w:t>
      </w:r>
      <w:r>
        <w:rPr>
          <w:rFonts w:hint="eastAsia" w:ascii="宋体" w:hAnsi="宋体" w:cs="宋体"/>
          <w:sz w:val="24"/>
        </w:rPr>
        <w:t>召开日前至少一个工作日将问题清单以书面形式（加盖公章）提交至采购代理机构。</w:t>
      </w:r>
    </w:p>
    <w:p>
      <w:pPr>
        <w:numPr>
          <w:ilvl w:val="0"/>
          <w:numId w:val="17"/>
        </w:numPr>
        <w:tabs>
          <w:tab w:val="left" w:pos="4395"/>
        </w:tabs>
        <w:autoSpaceDE w:val="0"/>
        <w:autoSpaceDN w:val="0"/>
        <w:adjustRightInd w:val="0"/>
        <w:snapToGrid w:val="0"/>
        <w:spacing w:line="360" w:lineRule="auto"/>
        <w:jc w:val="center"/>
        <w:outlineLvl w:val="2"/>
        <w:rPr>
          <w:rFonts w:ascii="宋体" w:hAnsi="宋体"/>
          <w:b/>
          <w:sz w:val="28"/>
          <w:szCs w:val="28"/>
          <w:lang w:eastAsia="zh-TW"/>
        </w:rPr>
      </w:pPr>
      <w:bookmarkStart w:id="42" w:name="_Toc438223138"/>
      <w:bookmarkStart w:id="43" w:name="_Toc28195"/>
      <w:bookmarkStart w:id="44" w:name="_Toc435516652"/>
      <w:bookmarkStart w:id="45" w:name="_Toc435174935"/>
      <w:r>
        <w:rPr>
          <w:rFonts w:hint="eastAsia" w:ascii="宋体" w:hAnsi="宋体"/>
          <w:b/>
          <w:sz w:val="28"/>
          <w:szCs w:val="28"/>
          <w:lang w:eastAsia="zh-TW"/>
        </w:rPr>
        <w:t>投标文件的编制</w:t>
      </w:r>
      <w:bookmarkEnd w:id="42"/>
      <w:bookmarkEnd w:id="43"/>
      <w:bookmarkEnd w:id="44"/>
      <w:bookmarkEnd w:id="45"/>
    </w:p>
    <w:p>
      <w:pPr>
        <w:numPr>
          <w:ilvl w:val="0"/>
          <w:numId w:val="20"/>
        </w:numPr>
        <w:autoSpaceDE w:val="0"/>
        <w:autoSpaceDN w:val="0"/>
        <w:adjustRightInd w:val="0"/>
        <w:snapToGrid w:val="0"/>
        <w:spacing w:line="360" w:lineRule="auto"/>
        <w:outlineLvl w:val="3"/>
        <w:rPr>
          <w:rFonts w:ascii="宋体" w:hAnsi="宋体"/>
          <w:b/>
          <w:bCs/>
          <w:sz w:val="24"/>
        </w:rPr>
      </w:pPr>
      <w:r>
        <w:rPr>
          <w:rFonts w:hint="eastAsia" w:ascii="宋体" w:hAnsi="宋体"/>
          <w:b/>
          <w:bCs/>
          <w:sz w:val="24"/>
        </w:rPr>
        <w:t>投标的语言</w:t>
      </w:r>
    </w:p>
    <w:p>
      <w:pPr>
        <w:numPr>
          <w:ilvl w:val="1"/>
          <w:numId w:val="20"/>
        </w:numPr>
        <w:autoSpaceDE w:val="0"/>
        <w:autoSpaceDN w:val="0"/>
        <w:adjustRightInd w:val="0"/>
        <w:snapToGrid w:val="0"/>
        <w:spacing w:line="360" w:lineRule="auto"/>
        <w:rPr>
          <w:rFonts w:ascii="宋体" w:hAnsi="宋体" w:cs="黑体"/>
          <w:b/>
          <w:bCs/>
          <w:sz w:val="24"/>
        </w:rPr>
      </w:pPr>
      <w:r>
        <w:rPr>
          <w:rFonts w:hint="eastAsia" w:ascii="宋体" w:hAnsi="宋体" w:cs="宋体"/>
          <w:sz w:val="24"/>
        </w:rPr>
        <w:t>投标人提交的投标文件以及投标人与采购人或者采购代理机构就有关投标的所有来往函电均应使用中文书写。投标人提交的支持文件或印刷的资料可以用另一种语言，但相应内容应附有中文翻译本，由翻译机构盖章或者翻译人员签名。</w:t>
      </w:r>
      <w:r>
        <w:rPr>
          <w:rFonts w:hint="eastAsia" w:ascii="宋体" w:hAnsi="宋体"/>
          <w:sz w:val="24"/>
        </w:rPr>
        <w:t>两种语言不一致时以中文翻译本为准。</w:t>
      </w:r>
    </w:p>
    <w:p>
      <w:pPr>
        <w:numPr>
          <w:ilvl w:val="0"/>
          <w:numId w:val="20"/>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投标文件的构成</w:t>
      </w:r>
    </w:p>
    <w:p>
      <w:pPr>
        <w:numPr>
          <w:ilvl w:val="1"/>
          <w:numId w:val="20"/>
        </w:numPr>
        <w:autoSpaceDE w:val="0"/>
        <w:autoSpaceDN w:val="0"/>
        <w:adjustRightInd w:val="0"/>
        <w:snapToGrid w:val="0"/>
        <w:spacing w:line="360" w:lineRule="auto"/>
        <w:rPr>
          <w:rFonts w:ascii="宋体" w:hAnsi="宋体" w:cs="宋体"/>
          <w:sz w:val="24"/>
        </w:rPr>
      </w:pPr>
      <w:r>
        <w:rPr>
          <w:rFonts w:hint="eastAsia" w:ascii="宋体" w:hAnsi="宋体" w:cs="宋体"/>
          <w:sz w:val="24"/>
        </w:rPr>
        <w:t>投标人应当按照招标文件的要求编制投标文件。投标文件应当对招标文件提出的要求和条件作出明确响应。投标文件的组成包括但不仅仅限于</w:t>
      </w:r>
      <w:r>
        <w:rPr>
          <w:rFonts w:hint="eastAsia" w:cs="宋体" w:asciiTheme="minorEastAsia" w:hAnsiTheme="minorEastAsia" w:eastAsiaTheme="minorEastAsia"/>
          <w:b/>
          <w:sz w:val="24"/>
        </w:rPr>
        <w:t>价格文件、资格性文件、符合性文件、技术文件、商务文件</w:t>
      </w:r>
      <w:r>
        <w:rPr>
          <w:rFonts w:hint="eastAsia" w:cs="宋体" w:asciiTheme="minorEastAsia" w:hAnsiTheme="minorEastAsia" w:eastAsiaTheme="minorEastAsia"/>
          <w:sz w:val="24"/>
        </w:rPr>
        <w:t>等</w:t>
      </w:r>
      <w:r>
        <w:rPr>
          <w:rFonts w:hint="eastAsia" w:ascii="宋体" w:hAnsi="宋体" w:cs="宋体"/>
          <w:sz w:val="24"/>
        </w:rPr>
        <w:t>。</w:t>
      </w:r>
    </w:p>
    <w:p>
      <w:pPr>
        <w:numPr>
          <w:ilvl w:val="1"/>
          <w:numId w:val="20"/>
        </w:numPr>
        <w:autoSpaceDE w:val="0"/>
        <w:autoSpaceDN w:val="0"/>
        <w:adjustRightInd w:val="0"/>
        <w:snapToGrid w:val="0"/>
        <w:spacing w:line="360" w:lineRule="auto"/>
        <w:rPr>
          <w:rFonts w:ascii="宋体" w:hAnsi="宋体" w:cs="宋体"/>
          <w:sz w:val="24"/>
        </w:rPr>
      </w:pPr>
      <w:r>
        <w:rPr>
          <w:rFonts w:hint="eastAsia" w:ascii="宋体" w:hAnsi="宋体" w:cs="宋体"/>
          <w:sz w:val="24"/>
        </w:rPr>
        <w:t>投标文件的构成应符合法律法规及招标文件的要求。</w:t>
      </w:r>
    </w:p>
    <w:p>
      <w:pPr>
        <w:numPr>
          <w:ilvl w:val="0"/>
          <w:numId w:val="20"/>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投标文件的编写</w:t>
      </w:r>
    </w:p>
    <w:p>
      <w:pPr>
        <w:numPr>
          <w:ilvl w:val="1"/>
          <w:numId w:val="20"/>
        </w:numPr>
        <w:autoSpaceDE w:val="0"/>
        <w:autoSpaceDN w:val="0"/>
        <w:adjustRightInd w:val="0"/>
        <w:snapToGrid w:val="0"/>
        <w:spacing w:line="360" w:lineRule="auto"/>
        <w:rPr>
          <w:rFonts w:ascii="宋体" w:hAnsi="宋体" w:cs="宋体"/>
          <w:sz w:val="24"/>
        </w:rPr>
      </w:pPr>
      <w:r>
        <w:rPr>
          <w:rFonts w:hint="eastAsia" w:ascii="宋体" w:hAnsi="宋体" w:cs="宋体"/>
          <w:sz w:val="24"/>
        </w:rPr>
        <w:t>投标人对招标文件中多个包组进行投标的，其投标文件的编制可以按每个包组的要求分别装订。投标人应当对投标文件进行装订成册，对未经装订的投标文件可能发生的文件散落或缺损，由此造成的后果和责任由投标人承担。</w:t>
      </w:r>
    </w:p>
    <w:p>
      <w:pPr>
        <w:numPr>
          <w:ilvl w:val="1"/>
          <w:numId w:val="20"/>
        </w:numPr>
        <w:tabs>
          <w:tab w:val="left" w:pos="709"/>
        </w:tabs>
        <w:autoSpaceDE w:val="0"/>
        <w:autoSpaceDN w:val="0"/>
        <w:adjustRightInd w:val="0"/>
        <w:snapToGrid w:val="0"/>
        <w:spacing w:line="360" w:lineRule="auto"/>
        <w:rPr>
          <w:rFonts w:ascii="宋体" w:hAnsi="宋体" w:cs="宋体"/>
          <w:strike/>
          <w:sz w:val="24"/>
        </w:rPr>
      </w:pPr>
      <w:r>
        <w:rPr>
          <w:rFonts w:hint="eastAsia" w:ascii="宋体" w:hAnsi="宋体" w:cs="宋体"/>
          <w:sz w:val="24"/>
        </w:rPr>
        <w:t>投标人必须对投标文件所提供的全部资料的真实性承担法律责任。</w:t>
      </w:r>
    </w:p>
    <w:p>
      <w:pPr>
        <w:numPr>
          <w:ilvl w:val="1"/>
          <w:numId w:val="20"/>
        </w:numPr>
        <w:tabs>
          <w:tab w:val="left" w:pos="709"/>
        </w:tabs>
        <w:autoSpaceDE w:val="0"/>
        <w:autoSpaceDN w:val="0"/>
        <w:adjustRightInd w:val="0"/>
        <w:snapToGrid w:val="0"/>
        <w:spacing w:line="360" w:lineRule="auto"/>
        <w:rPr>
          <w:rFonts w:ascii="宋体" w:hAnsi="宋体" w:cs="宋体"/>
          <w:strike/>
          <w:sz w:val="24"/>
        </w:rPr>
      </w:pPr>
      <w:r>
        <w:rPr>
          <w:rFonts w:hint="eastAsia" w:ascii="宋体" w:hAnsi="宋体" w:cs="宋体"/>
          <w:sz w:val="24"/>
        </w:rPr>
        <w:t>投标人应认真阅读招标文件中所有的事项、格式、条款和技术要求等，并按照招标文件的要求编制投标文件。若投标人不按照招标文件要求编制投标文件，由此产生的风险由投标人自己承担。</w:t>
      </w:r>
    </w:p>
    <w:p>
      <w:pPr>
        <w:numPr>
          <w:ilvl w:val="0"/>
          <w:numId w:val="20"/>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投标文件的式样和签署</w:t>
      </w:r>
    </w:p>
    <w:p>
      <w:pPr>
        <w:numPr>
          <w:ilvl w:val="1"/>
          <w:numId w:val="20"/>
        </w:numPr>
        <w:autoSpaceDE w:val="0"/>
        <w:autoSpaceDN w:val="0"/>
        <w:adjustRightInd w:val="0"/>
        <w:snapToGrid w:val="0"/>
        <w:spacing w:line="360" w:lineRule="auto"/>
        <w:rPr>
          <w:rFonts w:ascii="宋体" w:hAnsi="宋体" w:cs="黑体"/>
          <w:b/>
          <w:bCs/>
          <w:strike/>
          <w:sz w:val="24"/>
        </w:rPr>
      </w:pPr>
      <w:r>
        <w:rPr>
          <w:rFonts w:hint="eastAsia" w:ascii="宋体" w:hAnsi="宋体" w:cs="宋体"/>
          <w:sz w:val="24"/>
        </w:rPr>
        <w:t>投标人应准备</w:t>
      </w:r>
      <w:r>
        <w:rPr>
          <w:rFonts w:hint="eastAsia" w:ascii="宋体" w:hAnsi="宋体" w:cs="宋体"/>
          <w:b/>
          <w:sz w:val="24"/>
        </w:rPr>
        <w:t>投标须知前附表</w:t>
      </w:r>
      <w:r>
        <w:rPr>
          <w:rFonts w:hint="eastAsia" w:ascii="宋体" w:hAnsi="宋体" w:cs="宋体"/>
          <w:sz w:val="24"/>
        </w:rPr>
        <w:t>中规定式样和份数的副本、正本和电子介质的投标文件。</w:t>
      </w:r>
    </w:p>
    <w:p>
      <w:pPr>
        <w:numPr>
          <w:ilvl w:val="1"/>
          <w:numId w:val="20"/>
        </w:numPr>
        <w:autoSpaceDE w:val="0"/>
        <w:autoSpaceDN w:val="0"/>
        <w:adjustRightInd w:val="0"/>
        <w:snapToGrid w:val="0"/>
        <w:spacing w:line="360" w:lineRule="auto"/>
        <w:rPr>
          <w:rFonts w:ascii="宋体" w:hAnsi="宋体" w:cs="黑体"/>
          <w:bCs/>
          <w:strike/>
          <w:sz w:val="24"/>
        </w:rPr>
      </w:pPr>
      <w:r>
        <w:rPr>
          <w:rFonts w:hint="eastAsia" w:ascii="宋体" w:hAnsi="宋体" w:cs="黑体"/>
          <w:bCs/>
          <w:sz w:val="24"/>
        </w:rPr>
        <w:t>为方便办理退保证金等相关事宜，请投标人按</w:t>
      </w:r>
      <w:r>
        <w:rPr>
          <w:rFonts w:hint="eastAsia" w:ascii="宋体" w:hAnsi="宋体" w:cs="宋体"/>
          <w:b/>
          <w:sz w:val="24"/>
        </w:rPr>
        <w:t>投标须知前附表</w:t>
      </w:r>
      <w:r>
        <w:rPr>
          <w:rFonts w:hint="eastAsia" w:ascii="宋体" w:hAnsi="宋体" w:cs="宋体"/>
          <w:sz w:val="24"/>
        </w:rPr>
        <w:t>中的规定提交单独密封资料。</w:t>
      </w:r>
    </w:p>
    <w:p>
      <w:pPr>
        <w:numPr>
          <w:ilvl w:val="1"/>
          <w:numId w:val="20"/>
        </w:numPr>
        <w:autoSpaceDE w:val="0"/>
        <w:autoSpaceDN w:val="0"/>
        <w:adjustRightInd w:val="0"/>
        <w:snapToGrid w:val="0"/>
        <w:spacing w:line="360" w:lineRule="auto"/>
        <w:rPr>
          <w:rFonts w:ascii="宋体" w:hAnsi="宋体" w:cs="黑体"/>
          <w:b/>
          <w:bCs/>
          <w:sz w:val="24"/>
        </w:rPr>
      </w:pPr>
      <w:r>
        <w:rPr>
          <w:rFonts w:hint="eastAsia" w:ascii="宋体" w:hAnsi="宋体" w:cs="宋体"/>
          <w:sz w:val="24"/>
          <w:lang w:eastAsia="zh-TW"/>
        </w:rPr>
        <w:t>投标文件的签署：</w:t>
      </w:r>
    </w:p>
    <w:p>
      <w:pPr>
        <w:numPr>
          <w:ilvl w:val="2"/>
          <w:numId w:val="20"/>
        </w:numPr>
        <w:autoSpaceDE w:val="0"/>
        <w:autoSpaceDN w:val="0"/>
        <w:adjustRightInd w:val="0"/>
        <w:snapToGrid w:val="0"/>
        <w:spacing w:line="360" w:lineRule="auto"/>
        <w:rPr>
          <w:rFonts w:ascii="宋体" w:hAnsi="宋体"/>
          <w:sz w:val="24"/>
        </w:rPr>
      </w:pPr>
      <w:r>
        <w:rPr>
          <w:rFonts w:hint="eastAsia" w:ascii="宋体" w:hAnsi="宋体" w:cs="宋体"/>
          <w:sz w:val="24"/>
        </w:rPr>
        <w:t>投标文件的正本需打印或用不褪色墨水书写，且</w:t>
      </w:r>
      <w:r>
        <w:rPr>
          <w:rFonts w:hint="eastAsia" w:cs="宋体" w:asciiTheme="minorEastAsia" w:hAnsiTheme="minorEastAsia" w:eastAsiaTheme="minorEastAsia"/>
          <w:sz w:val="24"/>
        </w:rPr>
        <w:t>招标文件要求签名的由法定代表人或经其正式授权的代表签字或盖个人名章，以及招标文件中明示盖公章处及要求提供的证明材料应盖投标人公章</w:t>
      </w:r>
      <w:r>
        <w:rPr>
          <w:rFonts w:hint="eastAsia" w:ascii="宋体" w:hAnsi="宋体" w:cs="宋体"/>
          <w:sz w:val="24"/>
        </w:rPr>
        <w:t>，副本可以</w:t>
      </w:r>
      <w:r>
        <w:rPr>
          <w:rFonts w:hint="eastAsia" w:ascii="宋体" w:hAnsi="宋体" w:cs="Courier New"/>
          <w:sz w:val="24"/>
        </w:rPr>
        <w:t>用正本</w:t>
      </w:r>
      <w:r>
        <w:rPr>
          <w:rFonts w:hint="eastAsia" w:ascii="宋体" w:hAnsi="宋体" w:cs="宋体"/>
          <w:sz w:val="24"/>
        </w:rPr>
        <w:t>复印，与正本具有同等法律效力。授权代表须将以书面形式出具的《法定代表人授权委托书》附在投标文件中。</w:t>
      </w:r>
    </w:p>
    <w:p>
      <w:pPr>
        <w:numPr>
          <w:ilvl w:val="2"/>
          <w:numId w:val="20"/>
        </w:numPr>
        <w:autoSpaceDE w:val="0"/>
        <w:autoSpaceDN w:val="0"/>
        <w:adjustRightInd w:val="0"/>
        <w:snapToGrid w:val="0"/>
        <w:spacing w:line="360" w:lineRule="auto"/>
        <w:rPr>
          <w:rFonts w:ascii="宋体" w:hAnsi="宋体"/>
          <w:sz w:val="24"/>
        </w:rPr>
      </w:pPr>
      <w:r>
        <w:rPr>
          <w:rFonts w:hint="eastAsia" w:ascii="宋体" w:hAnsi="宋体" w:cs="宋体"/>
          <w:sz w:val="24"/>
        </w:rPr>
        <w:t>投标文件中的任何重要的插字、涂改和增删，必须由法定代表人或经其正式授权的代表在旁边盖个人名章或签字</w:t>
      </w:r>
      <w:r>
        <w:rPr>
          <w:rFonts w:hint="eastAsia" w:ascii="宋体" w:hAnsi="宋体"/>
          <w:sz w:val="24"/>
        </w:rPr>
        <w:t>或盖投标人公章</w:t>
      </w:r>
      <w:r>
        <w:rPr>
          <w:rFonts w:hint="eastAsia" w:ascii="宋体" w:hAnsi="宋体" w:cs="宋体"/>
          <w:sz w:val="24"/>
        </w:rPr>
        <w:t>才有效。</w:t>
      </w:r>
    </w:p>
    <w:p>
      <w:pPr>
        <w:numPr>
          <w:ilvl w:val="1"/>
          <w:numId w:val="20"/>
        </w:numPr>
        <w:autoSpaceDE w:val="0"/>
        <w:autoSpaceDN w:val="0"/>
        <w:adjustRightInd w:val="0"/>
        <w:snapToGrid w:val="0"/>
        <w:spacing w:line="360" w:lineRule="auto"/>
        <w:rPr>
          <w:rFonts w:ascii="宋体" w:hAnsi="宋体" w:cs="黑体"/>
          <w:bCs/>
          <w:sz w:val="24"/>
        </w:rPr>
      </w:pPr>
      <w:r>
        <w:rPr>
          <w:rFonts w:hint="eastAsia" w:ascii="宋体" w:hAnsi="宋体" w:cs="宋体"/>
          <w:sz w:val="24"/>
          <w:lang w:eastAsia="zh-TW"/>
        </w:rPr>
        <w:t>投标文件</w:t>
      </w:r>
      <w:r>
        <w:rPr>
          <w:rFonts w:hint="eastAsia" w:ascii="宋体" w:hAnsi="宋体"/>
          <w:bCs/>
          <w:sz w:val="24"/>
        </w:rPr>
        <w:t>密封与标识</w:t>
      </w:r>
    </w:p>
    <w:p>
      <w:pPr>
        <w:numPr>
          <w:ilvl w:val="3"/>
          <w:numId w:val="20"/>
        </w:numPr>
        <w:tabs>
          <w:tab w:val="left" w:pos="993"/>
        </w:tabs>
        <w:autoSpaceDE w:val="0"/>
        <w:autoSpaceDN w:val="0"/>
        <w:adjustRightInd w:val="0"/>
        <w:snapToGrid w:val="0"/>
        <w:spacing w:line="360" w:lineRule="auto"/>
        <w:ind w:left="567" w:hanging="567"/>
        <w:rPr>
          <w:rFonts w:ascii="宋体" w:hAnsi="宋体" w:cs="宋体"/>
          <w:sz w:val="24"/>
        </w:rPr>
      </w:pPr>
      <w:r>
        <w:rPr>
          <w:rFonts w:hint="eastAsia" w:ascii="宋体" w:hAnsi="宋体" w:cs="宋体"/>
          <w:sz w:val="24"/>
        </w:rPr>
        <w:t>投标文件的密封：</w:t>
      </w:r>
    </w:p>
    <w:p>
      <w:pPr>
        <w:pStyle w:val="101"/>
        <w:numPr>
          <w:ilvl w:val="0"/>
          <w:numId w:val="21"/>
        </w:numPr>
        <w:tabs>
          <w:tab w:val="left" w:pos="709"/>
        </w:tabs>
        <w:autoSpaceDE w:val="0"/>
        <w:autoSpaceDN w:val="0"/>
        <w:adjustRightInd w:val="0"/>
        <w:snapToGrid w:val="0"/>
        <w:spacing w:line="360" w:lineRule="auto"/>
        <w:ind w:firstLineChars="0"/>
        <w:rPr>
          <w:rFonts w:cs="宋体" w:asciiTheme="minorEastAsia" w:hAnsiTheme="minorEastAsia" w:eastAsiaTheme="minorEastAsia"/>
          <w:sz w:val="24"/>
        </w:rPr>
      </w:pPr>
      <w:r>
        <w:rPr>
          <w:rFonts w:hint="eastAsia" w:cs="宋体" w:asciiTheme="minorEastAsia" w:hAnsiTheme="minorEastAsia" w:eastAsiaTheme="minorEastAsia"/>
          <w:sz w:val="24"/>
        </w:rPr>
        <w:t>投标文件正本与副本可以单独密封包装，也可以所有投标文件密封包装在一个密封袋内。</w:t>
      </w:r>
    </w:p>
    <w:p>
      <w:pPr>
        <w:pStyle w:val="101"/>
        <w:numPr>
          <w:ilvl w:val="0"/>
          <w:numId w:val="21"/>
        </w:numPr>
        <w:tabs>
          <w:tab w:val="left" w:pos="709"/>
        </w:tabs>
        <w:autoSpaceDE w:val="0"/>
        <w:autoSpaceDN w:val="0"/>
        <w:adjustRightInd w:val="0"/>
        <w:snapToGrid w:val="0"/>
        <w:spacing w:line="360" w:lineRule="auto"/>
        <w:ind w:firstLineChars="0"/>
        <w:rPr>
          <w:rFonts w:ascii="宋体" w:hAnsi="宋体" w:cs="宋体"/>
          <w:sz w:val="24"/>
        </w:rPr>
      </w:pPr>
      <w:r>
        <w:rPr>
          <w:rFonts w:hint="eastAsia" w:cs="宋体" w:asciiTheme="minorEastAsia" w:hAnsiTheme="minorEastAsia" w:eastAsiaTheme="minorEastAsia"/>
          <w:sz w:val="24"/>
        </w:rPr>
        <w:t>不足以造成投标文件可从外包装内散出而导致投标文件内容泄密的，不被认定为投标文件未密封。</w:t>
      </w:r>
    </w:p>
    <w:p>
      <w:pPr>
        <w:numPr>
          <w:ilvl w:val="3"/>
          <w:numId w:val="20"/>
        </w:numPr>
        <w:tabs>
          <w:tab w:val="left" w:pos="993"/>
        </w:tabs>
        <w:autoSpaceDE w:val="0"/>
        <w:autoSpaceDN w:val="0"/>
        <w:adjustRightInd w:val="0"/>
        <w:snapToGrid w:val="0"/>
        <w:spacing w:line="360" w:lineRule="auto"/>
        <w:ind w:left="567" w:hanging="567"/>
        <w:rPr>
          <w:rFonts w:ascii="宋体" w:hAnsi="宋体" w:cs="宋体"/>
          <w:sz w:val="24"/>
        </w:rPr>
      </w:pPr>
      <w:r>
        <w:rPr>
          <w:rFonts w:hint="eastAsia" w:cs="宋体" w:asciiTheme="minorEastAsia" w:hAnsiTheme="minorEastAsia" w:eastAsiaTheme="minorEastAsia"/>
          <w:sz w:val="24"/>
        </w:rPr>
        <w:t>投标文件的标识：</w:t>
      </w:r>
    </w:p>
    <w:p>
      <w:pPr>
        <w:pStyle w:val="101"/>
        <w:numPr>
          <w:ilvl w:val="0"/>
          <w:numId w:val="22"/>
        </w:numPr>
        <w:tabs>
          <w:tab w:val="left" w:pos="709"/>
        </w:tabs>
        <w:autoSpaceDE w:val="0"/>
        <w:autoSpaceDN w:val="0"/>
        <w:adjustRightInd w:val="0"/>
        <w:snapToGrid w:val="0"/>
        <w:spacing w:line="360" w:lineRule="auto"/>
        <w:ind w:firstLineChars="0"/>
        <w:rPr>
          <w:rFonts w:cs="宋体" w:asciiTheme="minorEastAsia" w:hAnsiTheme="minorEastAsia" w:eastAsiaTheme="minorEastAsia"/>
          <w:sz w:val="24"/>
        </w:rPr>
      </w:pPr>
      <w:r>
        <w:rPr>
          <w:rFonts w:hint="eastAsia" w:cs="宋体" w:asciiTheme="minorEastAsia" w:hAnsiTheme="minorEastAsia" w:eastAsiaTheme="minorEastAsia"/>
          <w:sz w:val="24"/>
        </w:rPr>
        <w:t>信封或外包装上需清楚写明项目编号、项目名称、投标人名称、投标人地址、包组号（如有）的字样。</w:t>
      </w:r>
    </w:p>
    <w:p>
      <w:pPr>
        <w:pStyle w:val="101"/>
        <w:numPr>
          <w:ilvl w:val="0"/>
          <w:numId w:val="22"/>
        </w:numPr>
        <w:tabs>
          <w:tab w:val="left" w:pos="709"/>
        </w:tabs>
        <w:autoSpaceDE w:val="0"/>
        <w:autoSpaceDN w:val="0"/>
        <w:adjustRightInd w:val="0"/>
        <w:snapToGrid w:val="0"/>
        <w:spacing w:line="360" w:lineRule="auto"/>
        <w:ind w:firstLineChars="0"/>
        <w:rPr>
          <w:rFonts w:cs="宋体" w:asciiTheme="minorEastAsia" w:hAnsiTheme="minorEastAsia" w:eastAsiaTheme="minorEastAsia"/>
          <w:sz w:val="24"/>
        </w:rPr>
      </w:pPr>
      <w:r>
        <w:rPr>
          <w:rFonts w:hint="eastAsia" w:cs="宋体" w:asciiTheme="minorEastAsia" w:hAnsiTheme="minorEastAsia" w:eastAsiaTheme="minorEastAsia"/>
          <w:sz w:val="24"/>
        </w:rPr>
        <w:t>如果未按本须知上款要求加写标识，采购代理机构对误投或提前启封概不负责。</w:t>
      </w:r>
    </w:p>
    <w:p>
      <w:pPr>
        <w:numPr>
          <w:ilvl w:val="0"/>
          <w:numId w:val="20"/>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投标报价</w:t>
      </w:r>
    </w:p>
    <w:p>
      <w:pPr>
        <w:numPr>
          <w:ilvl w:val="1"/>
          <w:numId w:val="20"/>
        </w:numPr>
        <w:autoSpaceDE w:val="0"/>
        <w:autoSpaceDN w:val="0"/>
        <w:adjustRightInd w:val="0"/>
        <w:snapToGrid w:val="0"/>
        <w:spacing w:line="360" w:lineRule="auto"/>
        <w:rPr>
          <w:rFonts w:ascii="宋体" w:hAnsi="宋体" w:cs="黑体"/>
          <w:b/>
          <w:bCs/>
          <w:sz w:val="24"/>
        </w:rPr>
      </w:pPr>
      <w:r>
        <w:rPr>
          <w:rFonts w:hint="eastAsia" w:ascii="宋体" w:hAnsi="宋体" w:cs="宋体"/>
          <w:sz w:val="24"/>
        </w:rPr>
        <w:t>投标人应按照“用户需求书”中采购项目技术规格、参数及要求规定的内容、责任范围进行报价。并按《开标一览表(报价表)》及《投标分项报价表》（如适用）的要求报出总价和投标下浮率。投标人按招标文件的要求报出全部货物及服务内容所需的所有费用，</w:t>
      </w:r>
      <w:r>
        <w:rPr>
          <w:rFonts w:hint="eastAsia" w:cs="宋体" w:asciiTheme="minorEastAsia" w:hAnsiTheme="minorEastAsia" w:eastAsiaTheme="minorEastAsia"/>
          <w:sz w:val="24"/>
        </w:rPr>
        <w:t>在合同履行过程中，采购人不再支付除合同金额以外的费用。</w:t>
      </w:r>
    </w:p>
    <w:p>
      <w:pPr>
        <w:numPr>
          <w:ilvl w:val="1"/>
          <w:numId w:val="20"/>
        </w:numPr>
        <w:tabs>
          <w:tab w:val="clear" w:pos="567"/>
        </w:tabs>
        <w:autoSpaceDE w:val="0"/>
        <w:autoSpaceDN w:val="0"/>
        <w:adjustRightInd w:val="0"/>
        <w:snapToGrid w:val="0"/>
        <w:spacing w:line="360" w:lineRule="auto"/>
        <w:rPr>
          <w:rFonts w:ascii="宋体" w:hAnsi="宋体" w:cs="宋体"/>
          <w:sz w:val="24"/>
        </w:rPr>
      </w:pPr>
      <w:r>
        <w:rPr>
          <w:rFonts w:hint="eastAsia" w:ascii="宋体" w:hAnsi="宋体" w:cs="宋体"/>
          <w:sz w:val="24"/>
        </w:rPr>
        <w:t>投标报价应包含按招标文件的要求全部货物及服务内容所需的所有费用，</w:t>
      </w:r>
      <w:r>
        <w:rPr>
          <w:rFonts w:ascii="宋体" w:hAnsi="宋体" w:cs="宋体"/>
          <w:sz w:val="24"/>
        </w:rPr>
        <w:t>包括但不限于</w:t>
      </w:r>
      <w:r>
        <w:rPr>
          <w:rFonts w:hint="eastAsia" w:ascii="宋体" w:hAnsi="宋体" w:cs="宋体"/>
          <w:b/>
          <w:sz w:val="24"/>
        </w:rPr>
        <w:t>投标人须知前附表</w:t>
      </w:r>
      <w:r>
        <w:rPr>
          <w:rFonts w:hint="eastAsia" w:ascii="宋体" w:hAnsi="宋体" w:cs="宋体"/>
          <w:sz w:val="24"/>
        </w:rPr>
        <w:t>中规定的。</w:t>
      </w:r>
    </w:p>
    <w:p>
      <w:pPr>
        <w:numPr>
          <w:ilvl w:val="1"/>
          <w:numId w:val="20"/>
        </w:numPr>
        <w:autoSpaceDE w:val="0"/>
        <w:autoSpaceDN w:val="0"/>
        <w:adjustRightInd w:val="0"/>
        <w:snapToGrid w:val="0"/>
        <w:spacing w:line="360" w:lineRule="auto"/>
        <w:rPr>
          <w:rFonts w:ascii="宋体" w:hAnsi="宋体" w:cs="宋体"/>
          <w:sz w:val="24"/>
        </w:rPr>
      </w:pPr>
      <w:r>
        <w:rPr>
          <w:rFonts w:hint="eastAsia" w:ascii="宋体" w:hAnsi="宋体" w:cs="宋体"/>
          <w:sz w:val="24"/>
        </w:rPr>
        <w:t>投标人所报的投标价在合同执行过程中是固定不变的，不得以任何理由予以变更。任何包含价格调整要求的投标被认为是非实质性响应投标而予以拒绝。</w:t>
      </w:r>
    </w:p>
    <w:p>
      <w:pPr>
        <w:numPr>
          <w:ilvl w:val="1"/>
          <w:numId w:val="20"/>
        </w:numPr>
        <w:autoSpaceDE w:val="0"/>
        <w:autoSpaceDN w:val="0"/>
        <w:adjustRightInd w:val="0"/>
        <w:snapToGrid w:val="0"/>
        <w:spacing w:line="360" w:lineRule="auto"/>
        <w:rPr>
          <w:rFonts w:ascii="宋体" w:hAnsi="宋体" w:cs="宋体"/>
          <w:b/>
          <w:strike/>
          <w:sz w:val="24"/>
        </w:rPr>
      </w:pPr>
      <w:r>
        <w:rPr>
          <w:rFonts w:hint="eastAsia" w:ascii="宋体" w:hAnsi="宋体"/>
          <w:sz w:val="24"/>
        </w:rPr>
        <w:t>除</w:t>
      </w:r>
      <w:r>
        <w:rPr>
          <w:rFonts w:hint="eastAsia" w:ascii="宋体" w:hAnsi="宋体" w:cs="宋体"/>
          <w:b/>
          <w:sz w:val="24"/>
        </w:rPr>
        <w:t>投标人须知前附表</w:t>
      </w:r>
      <w:r>
        <w:rPr>
          <w:rFonts w:hint="eastAsia" w:ascii="宋体" w:hAnsi="宋体"/>
          <w:sz w:val="24"/>
        </w:rPr>
        <w:t>中允许有备选方案外，本次招标不接受选择性报价，</w:t>
      </w:r>
      <w:r>
        <w:rPr>
          <w:rFonts w:hint="eastAsia" w:ascii="宋体" w:hAnsi="宋体" w:cs="宋体"/>
          <w:sz w:val="24"/>
        </w:rPr>
        <w:t>否则将被视为</w:t>
      </w:r>
      <w:r>
        <w:rPr>
          <w:rFonts w:hint="eastAsia" w:ascii="宋体" w:hAnsi="宋体" w:cs="宋体"/>
          <w:b/>
          <w:sz w:val="24"/>
        </w:rPr>
        <w:t>无效投标</w:t>
      </w:r>
      <w:r>
        <w:rPr>
          <w:rFonts w:hint="eastAsia" w:ascii="宋体" w:hAnsi="宋体" w:cs="宋体"/>
          <w:sz w:val="24"/>
        </w:rPr>
        <w:t>。</w:t>
      </w:r>
    </w:p>
    <w:p>
      <w:pPr>
        <w:numPr>
          <w:ilvl w:val="1"/>
          <w:numId w:val="20"/>
        </w:numPr>
        <w:autoSpaceDE w:val="0"/>
        <w:autoSpaceDN w:val="0"/>
        <w:adjustRightInd w:val="0"/>
        <w:snapToGrid w:val="0"/>
        <w:spacing w:line="360" w:lineRule="auto"/>
        <w:rPr>
          <w:rFonts w:ascii="宋体" w:hAnsi="宋体" w:cs="宋体"/>
          <w:sz w:val="24"/>
        </w:rPr>
      </w:pPr>
      <w:r>
        <w:rPr>
          <w:rFonts w:hint="eastAsia" w:ascii="宋体" w:hAnsi="宋体"/>
          <w:sz w:val="24"/>
        </w:rPr>
        <w:t>本次招标不接受具有附加条件的报价，</w:t>
      </w:r>
      <w:r>
        <w:rPr>
          <w:rFonts w:hint="eastAsia" w:ascii="宋体" w:hAnsi="宋体" w:cs="宋体"/>
          <w:sz w:val="24"/>
        </w:rPr>
        <w:t>否则将被视为</w:t>
      </w:r>
      <w:r>
        <w:rPr>
          <w:rFonts w:hint="eastAsia" w:ascii="宋体" w:hAnsi="宋体" w:cs="宋体"/>
          <w:b/>
          <w:sz w:val="24"/>
        </w:rPr>
        <w:t>无效投标</w:t>
      </w:r>
      <w:r>
        <w:rPr>
          <w:rFonts w:hint="eastAsia" w:ascii="宋体" w:hAnsi="宋体" w:cs="宋体"/>
          <w:sz w:val="24"/>
        </w:rPr>
        <w:t>。</w:t>
      </w:r>
    </w:p>
    <w:p>
      <w:pPr>
        <w:numPr>
          <w:ilvl w:val="0"/>
          <w:numId w:val="20"/>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投标货币</w:t>
      </w:r>
    </w:p>
    <w:p>
      <w:pPr>
        <w:numPr>
          <w:ilvl w:val="1"/>
          <w:numId w:val="20"/>
        </w:numPr>
        <w:autoSpaceDE w:val="0"/>
        <w:autoSpaceDN w:val="0"/>
        <w:adjustRightInd w:val="0"/>
        <w:snapToGrid w:val="0"/>
        <w:spacing w:line="360" w:lineRule="auto"/>
        <w:rPr>
          <w:rFonts w:ascii="宋体" w:hAnsi="宋体"/>
          <w:sz w:val="24"/>
        </w:rPr>
      </w:pPr>
      <w:r>
        <w:rPr>
          <w:rFonts w:hint="eastAsia" w:ascii="宋体" w:hAnsi="宋体"/>
          <w:sz w:val="24"/>
        </w:rPr>
        <w:t>投标人所提供的货物和服务均应以人民币报价。</w:t>
      </w:r>
    </w:p>
    <w:p>
      <w:pPr>
        <w:numPr>
          <w:ilvl w:val="0"/>
          <w:numId w:val="20"/>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联合体投标</w:t>
      </w:r>
    </w:p>
    <w:p>
      <w:pPr>
        <w:numPr>
          <w:ilvl w:val="1"/>
          <w:numId w:val="20"/>
        </w:numPr>
        <w:autoSpaceDE w:val="0"/>
        <w:autoSpaceDN w:val="0"/>
        <w:adjustRightInd w:val="0"/>
        <w:snapToGrid w:val="0"/>
        <w:spacing w:line="360" w:lineRule="auto"/>
        <w:rPr>
          <w:rFonts w:ascii="宋体" w:hAnsi="宋体" w:cs="黑体"/>
          <w:b/>
          <w:bCs/>
          <w:sz w:val="24"/>
        </w:rPr>
      </w:pPr>
      <w:r>
        <w:rPr>
          <w:rFonts w:hint="eastAsia" w:ascii="宋体" w:hAnsi="宋体"/>
          <w:sz w:val="24"/>
        </w:rPr>
        <w:t>除非</w:t>
      </w:r>
      <w:r>
        <w:rPr>
          <w:rFonts w:hint="eastAsia" w:ascii="宋体" w:hAnsi="宋体"/>
          <w:b/>
          <w:sz w:val="24"/>
        </w:rPr>
        <w:t>投标邀请</w:t>
      </w:r>
      <w:r>
        <w:rPr>
          <w:rFonts w:hint="eastAsia" w:ascii="宋体" w:hAnsi="宋体"/>
          <w:sz w:val="24"/>
        </w:rPr>
        <w:t>中另有规定，不接受联合体投标。如果投标邀请中规定允许联合体投标的，则必须满足：</w:t>
      </w:r>
    </w:p>
    <w:p>
      <w:pPr>
        <w:numPr>
          <w:ilvl w:val="2"/>
          <w:numId w:val="20"/>
        </w:numPr>
        <w:autoSpaceDE w:val="0"/>
        <w:autoSpaceDN w:val="0"/>
        <w:adjustRightInd w:val="0"/>
        <w:snapToGrid w:val="0"/>
        <w:spacing w:line="360" w:lineRule="auto"/>
        <w:rPr>
          <w:rFonts w:ascii="宋体" w:hAnsi="宋体"/>
          <w:sz w:val="24"/>
        </w:rPr>
      </w:pPr>
      <w:r>
        <w:rPr>
          <w:rFonts w:hint="eastAsia" w:ascii="宋体" w:hAnsi="宋体"/>
          <w:sz w:val="24"/>
        </w:rPr>
        <w:t>以联合体形式参加投标的，联合体各方均必须符合申请人的资格要求</w:t>
      </w:r>
      <w:r>
        <w:rPr>
          <w:rFonts w:hint="eastAsia" w:ascii="宋体" w:hAnsi="宋体"/>
          <w:bCs/>
          <w:sz w:val="24"/>
        </w:rPr>
        <w:t>。</w:t>
      </w:r>
    </w:p>
    <w:p>
      <w:pPr>
        <w:numPr>
          <w:ilvl w:val="2"/>
          <w:numId w:val="20"/>
        </w:numPr>
        <w:autoSpaceDE w:val="0"/>
        <w:autoSpaceDN w:val="0"/>
        <w:adjustRightInd w:val="0"/>
        <w:snapToGrid w:val="0"/>
        <w:spacing w:line="360" w:lineRule="auto"/>
        <w:rPr>
          <w:rFonts w:ascii="宋体" w:hAnsi="宋体"/>
          <w:sz w:val="24"/>
        </w:rPr>
      </w:pPr>
      <w:r>
        <w:rPr>
          <w:rFonts w:hint="eastAsia" w:ascii="宋体" w:hAnsi="宋体"/>
          <w:sz w:val="24"/>
        </w:rPr>
        <w:t>联合体投标的，必须提供各方签订的联合投标协议，明确约定各方承担的工作和相应的责任。联合体各方签订联合投标协议书，不得再以自己名义单独在</w:t>
      </w:r>
      <w:r>
        <w:rPr>
          <w:rFonts w:hint="eastAsia" w:cs="宋体" w:asciiTheme="minorEastAsia" w:hAnsiTheme="minorEastAsia" w:eastAsiaTheme="minorEastAsia"/>
          <w:bCs/>
          <w:kern w:val="0"/>
          <w:sz w:val="24"/>
        </w:rPr>
        <w:t>本项目同一合同项下</w:t>
      </w:r>
      <w:r>
        <w:rPr>
          <w:rFonts w:hint="eastAsia" w:ascii="宋体" w:hAnsi="宋体"/>
          <w:sz w:val="24"/>
        </w:rPr>
        <w:t>的投标，也不得组成新的联合体参加</w:t>
      </w:r>
      <w:r>
        <w:rPr>
          <w:rFonts w:hint="eastAsia" w:cs="宋体" w:asciiTheme="minorEastAsia" w:hAnsiTheme="minorEastAsia" w:eastAsiaTheme="minorEastAsia"/>
          <w:bCs/>
          <w:kern w:val="0"/>
          <w:sz w:val="24"/>
        </w:rPr>
        <w:t>本项目同一合同项下的</w:t>
      </w:r>
      <w:r>
        <w:rPr>
          <w:rFonts w:hint="eastAsia" w:ascii="宋体" w:hAnsi="宋体"/>
          <w:sz w:val="24"/>
        </w:rPr>
        <w:t>投标。</w:t>
      </w:r>
    </w:p>
    <w:p>
      <w:pPr>
        <w:numPr>
          <w:ilvl w:val="2"/>
          <w:numId w:val="20"/>
        </w:numPr>
        <w:autoSpaceDE w:val="0"/>
        <w:autoSpaceDN w:val="0"/>
        <w:adjustRightInd w:val="0"/>
        <w:snapToGrid w:val="0"/>
        <w:spacing w:line="360" w:lineRule="auto"/>
        <w:rPr>
          <w:rFonts w:ascii="宋体" w:hAnsi="宋体"/>
          <w:sz w:val="24"/>
        </w:rPr>
      </w:pPr>
      <w:r>
        <w:rPr>
          <w:rFonts w:hint="eastAsia" w:ascii="宋体" w:hAnsi="宋体"/>
          <w:sz w:val="24"/>
        </w:rPr>
        <w:t>联合体中有同类资质的投标人按照联合体分工承担相同工作的，应当按照资质等级较低的投标人确定资质等级。由同一专业的单位组成的联合体，按照同一项资质等级较低的单位确定资质等级。</w:t>
      </w:r>
    </w:p>
    <w:p>
      <w:pPr>
        <w:numPr>
          <w:ilvl w:val="2"/>
          <w:numId w:val="20"/>
        </w:numPr>
        <w:tabs>
          <w:tab w:val="left" w:pos="851"/>
        </w:tabs>
        <w:autoSpaceDE w:val="0"/>
        <w:autoSpaceDN w:val="0"/>
        <w:adjustRightInd w:val="0"/>
        <w:snapToGrid w:val="0"/>
        <w:spacing w:line="360" w:lineRule="auto"/>
        <w:rPr>
          <w:rFonts w:ascii="宋体" w:hAnsi="宋体"/>
          <w:sz w:val="24"/>
        </w:rPr>
      </w:pPr>
      <w:r>
        <w:rPr>
          <w:rFonts w:hint="eastAsia" w:ascii="宋体" w:hAnsi="宋体"/>
          <w:sz w:val="24"/>
        </w:rPr>
        <w:t>联合体投标的，可以由联合体中的一方或者共同提交投标保证金，以一方名义提交投标保证金的，对联合体各方均具有约束力。</w:t>
      </w:r>
    </w:p>
    <w:p>
      <w:pPr>
        <w:numPr>
          <w:ilvl w:val="1"/>
          <w:numId w:val="20"/>
        </w:numPr>
        <w:autoSpaceDE w:val="0"/>
        <w:autoSpaceDN w:val="0"/>
        <w:adjustRightInd w:val="0"/>
        <w:snapToGrid w:val="0"/>
        <w:spacing w:line="360" w:lineRule="auto"/>
        <w:rPr>
          <w:rFonts w:ascii="宋体" w:hAnsi="宋体"/>
          <w:sz w:val="24"/>
        </w:rPr>
      </w:pPr>
      <w:r>
        <w:rPr>
          <w:rFonts w:ascii="宋体" w:hAnsi="宋体"/>
          <w:sz w:val="24"/>
        </w:rPr>
        <w:t>联合体中标的，联合体各方应当共同与</w:t>
      </w:r>
      <w:r>
        <w:rPr>
          <w:rFonts w:hint="eastAsia" w:ascii="宋体" w:hAnsi="宋体"/>
          <w:sz w:val="24"/>
        </w:rPr>
        <w:t>采购</w:t>
      </w:r>
      <w:r>
        <w:rPr>
          <w:rFonts w:ascii="宋体" w:hAnsi="宋体"/>
          <w:sz w:val="24"/>
        </w:rPr>
        <w:t>人签订合同。</w:t>
      </w:r>
    </w:p>
    <w:p>
      <w:pPr>
        <w:numPr>
          <w:ilvl w:val="0"/>
          <w:numId w:val="20"/>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证明投标人合格和资格的文件</w:t>
      </w:r>
    </w:p>
    <w:p>
      <w:pPr>
        <w:numPr>
          <w:ilvl w:val="1"/>
          <w:numId w:val="20"/>
        </w:numPr>
        <w:autoSpaceDE w:val="0"/>
        <w:autoSpaceDN w:val="0"/>
        <w:adjustRightInd w:val="0"/>
        <w:snapToGrid w:val="0"/>
        <w:spacing w:line="360" w:lineRule="auto"/>
        <w:rPr>
          <w:rFonts w:ascii="宋体" w:hAnsi="宋体" w:cs="黑体"/>
          <w:b/>
          <w:bCs/>
          <w:sz w:val="24"/>
        </w:rPr>
      </w:pPr>
      <w:r>
        <w:rPr>
          <w:rFonts w:hint="eastAsia" w:ascii="宋体" w:hAnsi="宋体" w:cs="宋体"/>
          <w:sz w:val="24"/>
        </w:rPr>
        <w:t>投标人应提交证明其有资格参加投标和中标后有能力履行合同的文件，并作为其投标文件的一部分。如果投标人为联合体，应提交联合体各方的资格证明文件、联合投标协议并注明主体方及各方拟承担的工作和责任。</w:t>
      </w:r>
      <w:r>
        <w:rPr>
          <w:rFonts w:hint="eastAsia" w:ascii="宋体" w:hAnsi="宋体" w:cs="宋体"/>
          <w:sz w:val="24"/>
          <w:lang w:eastAsia="zh-TW"/>
        </w:rPr>
        <w:t>否则</w:t>
      </w:r>
      <w:r>
        <w:rPr>
          <w:rFonts w:hint="eastAsia" w:ascii="宋体" w:hAnsi="宋体" w:cs="宋体"/>
          <w:sz w:val="24"/>
        </w:rPr>
        <w:t>，</w:t>
      </w:r>
      <w:r>
        <w:rPr>
          <w:rFonts w:hint="eastAsia" w:ascii="宋体" w:hAnsi="宋体" w:cs="宋体"/>
          <w:sz w:val="24"/>
          <w:lang w:eastAsia="zh-TW"/>
        </w:rPr>
        <w:t>将导致其</w:t>
      </w:r>
      <w:r>
        <w:rPr>
          <w:rFonts w:hint="eastAsia" w:ascii="宋体" w:hAnsi="宋体" w:cs="宋体"/>
          <w:b/>
          <w:sz w:val="24"/>
          <w:lang w:eastAsia="zh-TW"/>
        </w:rPr>
        <w:t>投标</w:t>
      </w:r>
      <w:r>
        <w:rPr>
          <w:rFonts w:hint="eastAsia" w:ascii="宋体" w:hAnsi="宋体" w:cs="宋体"/>
          <w:b/>
          <w:sz w:val="24"/>
        </w:rPr>
        <w:t>无效</w:t>
      </w:r>
      <w:r>
        <w:rPr>
          <w:rFonts w:hint="eastAsia" w:ascii="宋体" w:hAnsi="宋体" w:cs="宋体"/>
          <w:sz w:val="24"/>
        </w:rPr>
        <w:t>。</w:t>
      </w:r>
    </w:p>
    <w:p>
      <w:pPr>
        <w:numPr>
          <w:ilvl w:val="1"/>
          <w:numId w:val="20"/>
        </w:numPr>
        <w:autoSpaceDE w:val="0"/>
        <w:autoSpaceDN w:val="0"/>
        <w:adjustRightInd w:val="0"/>
        <w:snapToGrid w:val="0"/>
        <w:spacing w:line="360" w:lineRule="auto"/>
        <w:rPr>
          <w:rFonts w:ascii="宋体" w:hAnsi="宋体" w:cs="宋体"/>
          <w:sz w:val="24"/>
        </w:rPr>
      </w:pPr>
      <w:r>
        <w:rPr>
          <w:rFonts w:hint="eastAsia" w:ascii="宋体" w:hAnsi="宋体" w:cs="宋体"/>
          <w:sz w:val="24"/>
        </w:rPr>
        <w:t>投标人提交的资格证明文件应证明其满足</w:t>
      </w:r>
      <w:r>
        <w:rPr>
          <w:rFonts w:hint="eastAsia" w:ascii="宋体"/>
          <w:bCs/>
          <w:sz w:val="24"/>
        </w:rPr>
        <w:t>投标人的资格要求</w:t>
      </w:r>
      <w:r>
        <w:rPr>
          <w:rFonts w:hint="eastAsia" w:ascii="宋体" w:hAnsi="宋体" w:cs="宋体"/>
          <w:sz w:val="24"/>
        </w:rPr>
        <w:t>。</w:t>
      </w:r>
    </w:p>
    <w:p>
      <w:pPr>
        <w:numPr>
          <w:ilvl w:val="0"/>
          <w:numId w:val="20"/>
        </w:numPr>
        <w:autoSpaceDE w:val="0"/>
        <w:autoSpaceDN w:val="0"/>
        <w:adjustRightInd w:val="0"/>
        <w:snapToGrid w:val="0"/>
        <w:spacing w:line="360" w:lineRule="auto"/>
        <w:ind w:left="487" w:hanging="487" w:hangingChars="202"/>
        <w:outlineLvl w:val="3"/>
        <w:rPr>
          <w:rFonts w:ascii="宋体" w:hAnsi="宋体"/>
          <w:b/>
          <w:bCs/>
          <w:sz w:val="24"/>
        </w:rPr>
      </w:pPr>
      <w:r>
        <w:rPr>
          <w:rFonts w:ascii="宋体" w:hAnsi="宋体"/>
          <w:b/>
          <w:bCs/>
          <w:sz w:val="24"/>
        </w:rPr>
        <w:t>证明投标标的的合格性和符合招标文件规定的文件</w:t>
      </w:r>
    </w:p>
    <w:p>
      <w:pPr>
        <w:numPr>
          <w:ilvl w:val="1"/>
          <w:numId w:val="20"/>
        </w:numPr>
        <w:autoSpaceDE w:val="0"/>
        <w:autoSpaceDN w:val="0"/>
        <w:adjustRightInd w:val="0"/>
        <w:snapToGrid w:val="0"/>
        <w:spacing w:line="360" w:lineRule="auto"/>
        <w:rPr>
          <w:rFonts w:ascii="宋体" w:hAnsi="宋体" w:cs="黑体"/>
          <w:b/>
          <w:bCs/>
          <w:sz w:val="24"/>
        </w:rPr>
      </w:pPr>
      <w:r>
        <w:rPr>
          <w:rFonts w:hint="eastAsia" w:ascii="宋体" w:hAnsi="宋体" w:cs="宋体"/>
          <w:sz w:val="24"/>
        </w:rPr>
        <w:t>投标人应提交证明文件，证明其拟投标的货物和服务的合格性符合招标文件规定。该证明文件作为投标文件的一部分。</w:t>
      </w:r>
    </w:p>
    <w:p>
      <w:pPr>
        <w:numPr>
          <w:ilvl w:val="1"/>
          <w:numId w:val="20"/>
        </w:numPr>
        <w:autoSpaceDE w:val="0"/>
        <w:autoSpaceDN w:val="0"/>
        <w:adjustRightInd w:val="0"/>
        <w:snapToGrid w:val="0"/>
        <w:spacing w:line="360" w:lineRule="auto"/>
        <w:rPr>
          <w:rFonts w:ascii="宋体" w:hAnsi="宋体" w:cs="宋体"/>
          <w:sz w:val="24"/>
        </w:rPr>
      </w:pPr>
      <w:r>
        <w:rPr>
          <w:rFonts w:hint="eastAsia" w:ascii="宋体" w:hAnsi="宋体" w:cs="宋体"/>
          <w:sz w:val="24"/>
        </w:rPr>
        <w:t>货物和服务合格性的证明文件应包括投标分项报价表中对货物和服务原产地的说明。</w:t>
      </w:r>
    </w:p>
    <w:p>
      <w:pPr>
        <w:numPr>
          <w:ilvl w:val="1"/>
          <w:numId w:val="20"/>
        </w:numPr>
        <w:autoSpaceDE w:val="0"/>
        <w:autoSpaceDN w:val="0"/>
        <w:adjustRightInd w:val="0"/>
        <w:snapToGrid w:val="0"/>
        <w:spacing w:line="360" w:lineRule="auto"/>
        <w:rPr>
          <w:rFonts w:ascii="宋体" w:hAnsi="宋体"/>
          <w:strike/>
          <w:sz w:val="24"/>
        </w:rPr>
      </w:pPr>
      <w:r>
        <w:rPr>
          <w:rFonts w:hint="eastAsia" w:ascii="宋体" w:hAnsi="宋体" w:cs="宋体"/>
          <w:sz w:val="24"/>
        </w:rPr>
        <w:t>证明货物和服务与招标文件的要求相一致的文件，可以是文字资料、图纸和数据。</w:t>
      </w:r>
    </w:p>
    <w:p>
      <w:pPr>
        <w:numPr>
          <w:ilvl w:val="0"/>
          <w:numId w:val="20"/>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投标保证金</w:t>
      </w:r>
      <w:r>
        <w:rPr>
          <w:rFonts w:hint="eastAsia" w:ascii="宋体" w:hAnsi="宋体"/>
          <w:b/>
          <w:bCs/>
          <w:sz w:val="24"/>
          <w:lang w:eastAsia="zh-CN"/>
        </w:rPr>
        <w:t>（</w:t>
      </w:r>
      <w:r>
        <w:rPr>
          <w:rFonts w:hint="eastAsia" w:ascii="宋体" w:hAnsi="宋体"/>
          <w:b/>
          <w:bCs/>
          <w:sz w:val="24"/>
          <w:lang w:val="en-US" w:eastAsia="zh-CN"/>
        </w:rPr>
        <w:t>本项目不适用</w:t>
      </w:r>
      <w:r>
        <w:rPr>
          <w:rFonts w:hint="eastAsia" w:ascii="宋体" w:hAnsi="宋体"/>
          <w:b/>
          <w:bCs/>
          <w:sz w:val="24"/>
          <w:lang w:eastAsia="zh-CN"/>
        </w:rPr>
        <w:t>）</w:t>
      </w:r>
    </w:p>
    <w:p>
      <w:pPr>
        <w:numPr>
          <w:ilvl w:val="1"/>
          <w:numId w:val="20"/>
        </w:numPr>
        <w:autoSpaceDE w:val="0"/>
        <w:autoSpaceDN w:val="0"/>
        <w:adjustRightInd w:val="0"/>
        <w:snapToGrid w:val="0"/>
        <w:spacing w:line="360" w:lineRule="auto"/>
        <w:rPr>
          <w:rFonts w:ascii="宋体" w:hAnsi="宋体" w:cs="宋体"/>
          <w:strike/>
          <w:dstrike w:val="0"/>
          <w:sz w:val="24"/>
        </w:rPr>
      </w:pPr>
      <w:r>
        <w:rPr>
          <w:rFonts w:hint="eastAsia" w:ascii="宋体" w:hAnsi="宋体" w:cs="宋体"/>
          <w:strike/>
          <w:dstrike w:val="0"/>
          <w:sz w:val="24"/>
        </w:rPr>
        <w:t>投标人应按</w:t>
      </w:r>
      <w:r>
        <w:rPr>
          <w:rFonts w:hint="eastAsia" w:ascii="宋体" w:hAnsi="宋体" w:cs="宋体"/>
          <w:b/>
          <w:strike/>
          <w:dstrike w:val="0"/>
          <w:sz w:val="24"/>
        </w:rPr>
        <w:t>投标人须知前附表</w:t>
      </w:r>
      <w:r>
        <w:rPr>
          <w:rFonts w:hint="eastAsia" w:ascii="宋体" w:hAnsi="宋体" w:cs="宋体"/>
          <w:strike/>
          <w:dstrike w:val="0"/>
          <w:sz w:val="24"/>
        </w:rPr>
        <w:t>中规定缴纳投标保证金，并作为其投标文件的组成部分。投标保证金有效期应当与投标有效期一致。</w:t>
      </w:r>
    </w:p>
    <w:p>
      <w:pPr>
        <w:numPr>
          <w:ilvl w:val="1"/>
          <w:numId w:val="20"/>
        </w:numPr>
        <w:autoSpaceDE w:val="0"/>
        <w:autoSpaceDN w:val="0"/>
        <w:adjustRightInd w:val="0"/>
        <w:snapToGrid w:val="0"/>
        <w:spacing w:line="360" w:lineRule="auto"/>
        <w:rPr>
          <w:rFonts w:ascii="宋体" w:hAnsi="宋体" w:cs="宋体"/>
          <w:strike/>
          <w:dstrike w:val="0"/>
          <w:sz w:val="24"/>
        </w:rPr>
      </w:pPr>
      <w:r>
        <w:rPr>
          <w:rFonts w:hint="eastAsia" w:ascii="宋体" w:hAnsi="宋体" w:cs="宋体"/>
          <w:strike/>
          <w:dstrike w:val="0"/>
          <w:sz w:val="24"/>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pPr>
        <w:numPr>
          <w:ilvl w:val="1"/>
          <w:numId w:val="20"/>
        </w:numPr>
        <w:autoSpaceDE w:val="0"/>
        <w:autoSpaceDN w:val="0"/>
        <w:adjustRightInd w:val="0"/>
        <w:snapToGrid w:val="0"/>
        <w:spacing w:line="360" w:lineRule="auto"/>
        <w:rPr>
          <w:rFonts w:ascii="宋体" w:hAnsi="宋体" w:cs="宋体"/>
          <w:strike/>
          <w:dstrike w:val="0"/>
          <w:sz w:val="24"/>
        </w:rPr>
      </w:pPr>
      <w:r>
        <w:rPr>
          <w:rFonts w:hint="eastAsia" w:ascii="宋体" w:hAnsi="宋体" w:cs="宋体"/>
          <w:strike/>
          <w:dstrike w:val="0"/>
          <w:sz w:val="24"/>
        </w:rPr>
        <w:t>未中标的投标人保证金，在中标通知书发出之日起5个工作日内，但因投标人自身原因导致无法及时退还的除外。</w:t>
      </w:r>
    </w:p>
    <w:p>
      <w:pPr>
        <w:numPr>
          <w:ilvl w:val="1"/>
          <w:numId w:val="20"/>
        </w:numPr>
        <w:autoSpaceDE w:val="0"/>
        <w:autoSpaceDN w:val="0"/>
        <w:adjustRightInd w:val="0"/>
        <w:snapToGrid w:val="0"/>
        <w:spacing w:line="360" w:lineRule="auto"/>
        <w:rPr>
          <w:rFonts w:ascii="宋体" w:hAnsi="宋体" w:cs="宋体"/>
          <w:strike/>
          <w:dstrike w:val="0"/>
          <w:sz w:val="24"/>
        </w:rPr>
      </w:pPr>
      <w:r>
        <w:rPr>
          <w:rFonts w:hint="eastAsia" w:ascii="宋体" w:hAnsi="宋体" w:cs="宋体"/>
          <w:strike/>
          <w:dstrike w:val="0"/>
          <w:sz w:val="24"/>
        </w:rPr>
        <w:t>中标人的投标保证金，在中标人与采购人签订采购合同之日起5个工作日内，或者转为中标人的履约保证金，但因投标人自身原因导致无法及时退还的除外。</w:t>
      </w:r>
    </w:p>
    <w:p>
      <w:pPr>
        <w:numPr>
          <w:ilvl w:val="1"/>
          <w:numId w:val="20"/>
        </w:numPr>
        <w:autoSpaceDE w:val="0"/>
        <w:autoSpaceDN w:val="0"/>
        <w:adjustRightInd w:val="0"/>
        <w:snapToGrid w:val="0"/>
        <w:spacing w:line="360" w:lineRule="auto"/>
        <w:rPr>
          <w:rFonts w:ascii="宋体" w:hAnsi="宋体" w:cs="宋体"/>
          <w:strike/>
          <w:dstrike w:val="0"/>
          <w:sz w:val="24"/>
        </w:rPr>
      </w:pPr>
      <w:r>
        <w:rPr>
          <w:rFonts w:hint="eastAsia" w:ascii="宋体" w:hAnsi="宋体" w:cs="宋体"/>
          <w:strike/>
          <w:dstrike w:val="0"/>
          <w:sz w:val="24"/>
        </w:rPr>
        <w:t>下列任一情形发生时，投标保证金将不予退还：</w:t>
      </w:r>
    </w:p>
    <w:p>
      <w:pPr>
        <w:numPr>
          <w:ilvl w:val="2"/>
          <w:numId w:val="20"/>
        </w:numPr>
        <w:autoSpaceDE w:val="0"/>
        <w:autoSpaceDN w:val="0"/>
        <w:adjustRightInd w:val="0"/>
        <w:snapToGrid w:val="0"/>
        <w:spacing w:line="360" w:lineRule="auto"/>
        <w:rPr>
          <w:rFonts w:ascii="宋体" w:hAnsi="宋体" w:cs="宋体"/>
          <w:strike/>
          <w:dstrike w:val="0"/>
          <w:sz w:val="24"/>
        </w:rPr>
      </w:pPr>
      <w:r>
        <w:rPr>
          <w:rFonts w:hint="eastAsia" w:ascii="宋体" w:hAnsi="宋体" w:cs="宋体"/>
          <w:strike/>
          <w:dstrike w:val="0"/>
          <w:sz w:val="24"/>
        </w:rPr>
        <w:t>投标人在招标文件中规定的投标有效期内撤销其投标文件；</w:t>
      </w:r>
    </w:p>
    <w:p>
      <w:pPr>
        <w:numPr>
          <w:ilvl w:val="2"/>
          <w:numId w:val="20"/>
        </w:numPr>
        <w:autoSpaceDE w:val="0"/>
        <w:autoSpaceDN w:val="0"/>
        <w:adjustRightInd w:val="0"/>
        <w:snapToGrid w:val="0"/>
        <w:spacing w:line="360" w:lineRule="auto"/>
        <w:rPr>
          <w:rFonts w:ascii="宋体" w:hAnsi="宋体" w:cs="宋体"/>
          <w:strike/>
          <w:dstrike w:val="0"/>
          <w:sz w:val="24"/>
        </w:rPr>
      </w:pPr>
      <w:r>
        <w:rPr>
          <w:rFonts w:hint="eastAsia" w:ascii="宋体" w:hAnsi="宋体" w:cs="宋体"/>
          <w:strike/>
          <w:dstrike w:val="0"/>
          <w:sz w:val="24"/>
        </w:rPr>
        <w:t>中标后无正当理由放弃中标或中标人拒绝与采购人签订合同；</w:t>
      </w:r>
    </w:p>
    <w:p>
      <w:pPr>
        <w:numPr>
          <w:ilvl w:val="2"/>
          <w:numId w:val="20"/>
        </w:numPr>
        <w:autoSpaceDE w:val="0"/>
        <w:autoSpaceDN w:val="0"/>
        <w:adjustRightInd w:val="0"/>
        <w:snapToGrid w:val="0"/>
        <w:spacing w:line="360" w:lineRule="auto"/>
        <w:rPr>
          <w:rFonts w:ascii="宋体" w:hAnsi="宋体" w:cs="宋体"/>
          <w:strike/>
          <w:dstrike w:val="0"/>
          <w:sz w:val="24"/>
          <w:lang w:eastAsia="zh-TW"/>
        </w:rPr>
      </w:pPr>
      <w:r>
        <w:rPr>
          <w:rFonts w:hint="eastAsia" w:ascii="宋体" w:hAnsi="宋体" w:cs="宋体"/>
          <w:strike/>
          <w:dstrike w:val="0"/>
          <w:sz w:val="24"/>
          <w:lang w:eastAsia="zh-TW"/>
        </w:rPr>
        <w:t>依法</w:t>
      </w:r>
      <w:r>
        <w:rPr>
          <w:rFonts w:hint="eastAsia" w:ascii="宋体" w:hAnsi="宋体" w:cs="宋体"/>
          <w:strike/>
          <w:dstrike w:val="0"/>
          <w:sz w:val="24"/>
        </w:rPr>
        <w:t>被认定中标无效</w:t>
      </w:r>
      <w:r>
        <w:rPr>
          <w:rFonts w:hint="eastAsia" w:ascii="宋体" w:hAnsi="宋体" w:cs="宋体"/>
          <w:strike/>
          <w:dstrike w:val="0"/>
          <w:sz w:val="24"/>
          <w:lang w:eastAsia="zh-TW"/>
        </w:rPr>
        <w:t>；</w:t>
      </w:r>
    </w:p>
    <w:p>
      <w:pPr>
        <w:numPr>
          <w:ilvl w:val="0"/>
          <w:numId w:val="20"/>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投标有效期</w:t>
      </w:r>
    </w:p>
    <w:p>
      <w:pPr>
        <w:numPr>
          <w:ilvl w:val="1"/>
          <w:numId w:val="20"/>
        </w:numPr>
        <w:autoSpaceDE w:val="0"/>
        <w:autoSpaceDN w:val="0"/>
        <w:adjustRightInd w:val="0"/>
        <w:snapToGrid w:val="0"/>
        <w:spacing w:line="360" w:lineRule="auto"/>
        <w:rPr>
          <w:rFonts w:ascii="宋体" w:hAnsi="宋体" w:cs="黑体"/>
          <w:b/>
          <w:bCs/>
          <w:sz w:val="24"/>
        </w:rPr>
      </w:pPr>
      <w:r>
        <w:rPr>
          <w:rFonts w:hint="eastAsia" w:ascii="宋体" w:hAnsi="宋体" w:cs="宋体"/>
          <w:sz w:val="24"/>
        </w:rPr>
        <w:t>投标应自</w:t>
      </w:r>
      <w:r>
        <w:rPr>
          <w:rFonts w:hint="eastAsia" w:ascii="宋体" w:hAnsi="宋体" w:cs="宋体"/>
          <w:b/>
          <w:sz w:val="24"/>
        </w:rPr>
        <w:t>投标人须知前附表</w:t>
      </w:r>
      <w:r>
        <w:rPr>
          <w:rFonts w:hint="eastAsia" w:ascii="宋体" w:hAnsi="宋体" w:cs="宋体"/>
          <w:sz w:val="24"/>
        </w:rPr>
        <w:t>中规定的投标有效期从提交投标文件的截止之日起算，并与</w:t>
      </w:r>
      <w:r>
        <w:rPr>
          <w:rFonts w:hint="eastAsia" w:ascii="宋体" w:hAnsi="宋体" w:cs="宋体"/>
          <w:b/>
          <w:sz w:val="24"/>
        </w:rPr>
        <w:t>投标人须知前附表</w:t>
      </w:r>
      <w:r>
        <w:rPr>
          <w:rFonts w:hint="eastAsia" w:ascii="宋体" w:hAnsi="宋体" w:cs="宋体"/>
          <w:sz w:val="24"/>
        </w:rPr>
        <w:t>中所述期限内保持有效。</w:t>
      </w:r>
    </w:p>
    <w:p>
      <w:pPr>
        <w:numPr>
          <w:ilvl w:val="1"/>
          <w:numId w:val="20"/>
        </w:numPr>
        <w:autoSpaceDE w:val="0"/>
        <w:autoSpaceDN w:val="0"/>
        <w:adjustRightInd w:val="0"/>
        <w:snapToGrid w:val="0"/>
        <w:spacing w:line="360" w:lineRule="auto"/>
        <w:rPr>
          <w:rFonts w:ascii="宋体" w:hAnsi="宋体"/>
          <w:sz w:val="24"/>
        </w:rPr>
      </w:pPr>
      <w:r>
        <w:rPr>
          <w:rFonts w:hint="eastAsia" w:ascii="宋体" w:hAnsi="宋体" w:cs="宋体"/>
          <w:sz w:val="24"/>
        </w:rPr>
        <w:t>特殊情况下，在原投标有效期截止之前，采购代理机构可要求投标人延长投标有效期。这种要求与答复均应以书面形式提交。投标人可拒绝采购代理机构的这种要求，</w:t>
      </w:r>
      <w:r>
        <w:rPr>
          <w:rFonts w:hint="eastAsia" w:ascii="宋体" w:hAnsi="宋体" w:cs="宋体"/>
          <w:strike/>
          <w:dstrike w:val="0"/>
          <w:sz w:val="24"/>
        </w:rPr>
        <w:t>其投标保证金将予以退还，</w:t>
      </w:r>
      <w:r>
        <w:rPr>
          <w:rFonts w:hint="eastAsia" w:ascii="宋体" w:hAnsi="宋体" w:cs="宋体"/>
          <w:sz w:val="24"/>
        </w:rPr>
        <w:t>但其投标在原投标有效期期满后将不再有效。同意延长投标有效期的投标人将不会被要求和允许修正其投标</w:t>
      </w:r>
      <w:r>
        <w:rPr>
          <w:rFonts w:hint="eastAsia" w:ascii="宋体" w:hAnsi="宋体" w:cs="宋体"/>
          <w:strike/>
          <w:dstrike w:val="0"/>
          <w:sz w:val="24"/>
        </w:rPr>
        <w:t>，而只会被要求相应地延长其投标保证金的有效期。在这种情况下，本须知有关投标保证金的退还和不予退还的规定将在延长了的有效期内继续有效。</w:t>
      </w:r>
    </w:p>
    <w:p>
      <w:pPr>
        <w:numPr>
          <w:ilvl w:val="0"/>
          <w:numId w:val="17"/>
        </w:numPr>
        <w:tabs>
          <w:tab w:val="left" w:pos="4395"/>
        </w:tabs>
        <w:autoSpaceDE w:val="0"/>
        <w:autoSpaceDN w:val="0"/>
        <w:adjustRightInd w:val="0"/>
        <w:snapToGrid w:val="0"/>
        <w:spacing w:line="360" w:lineRule="auto"/>
        <w:jc w:val="center"/>
        <w:outlineLvl w:val="2"/>
        <w:rPr>
          <w:rFonts w:ascii="宋体" w:hAnsi="宋体"/>
          <w:b/>
          <w:sz w:val="28"/>
          <w:szCs w:val="28"/>
          <w:lang w:eastAsia="zh-TW"/>
        </w:rPr>
      </w:pPr>
      <w:bookmarkStart w:id="46" w:name="_Toc435174936"/>
      <w:bookmarkStart w:id="47" w:name="_Toc438223139"/>
      <w:bookmarkStart w:id="48" w:name="_Toc31533"/>
      <w:bookmarkStart w:id="49" w:name="_Toc435516653"/>
      <w:r>
        <w:rPr>
          <w:rFonts w:hint="eastAsia" w:ascii="宋体" w:hAnsi="宋体"/>
          <w:b/>
          <w:sz w:val="28"/>
          <w:szCs w:val="28"/>
          <w:lang w:eastAsia="zh-TW"/>
        </w:rPr>
        <w:t>投标文件的递交</w:t>
      </w:r>
      <w:bookmarkEnd w:id="46"/>
      <w:bookmarkEnd w:id="47"/>
      <w:bookmarkEnd w:id="48"/>
      <w:bookmarkEnd w:id="49"/>
    </w:p>
    <w:p>
      <w:pPr>
        <w:numPr>
          <w:ilvl w:val="0"/>
          <w:numId w:val="23"/>
        </w:numPr>
        <w:autoSpaceDE w:val="0"/>
        <w:autoSpaceDN w:val="0"/>
        <w:adjustRightInd w:val="0"/>
        <w:snapToGrid w:val="0"/>
        <w:spacing w:line="360" w:lineRule="auto"/>
        <w:outlineLvl w:val="3"/>
        <w:rPr>
          <w:rFonts w:ascii="宋体" w:hAnsi="宋体"/>
          <w:b/>
          <w:bCs/>
          <w:sz w:val="24"/>
        </w:rPr>
      </w:pPr>
      <w:r>
        <w:rPr>
          <w:rFonts w:hint="eastAsia" w:ascii="宋体" w:hAnsi="宋体"/>
          <w:b/>
          <w:bCs/>
          <w:sz w:val="24"/>
        </w:rPr>
        <w:t>投标文件递交</w:t>
      </w:r>
    </w:p>
    <w:p>
      <w:pPr>
        <w:numPr>
          <w:ilvl w:val="1"/>
          <w:numId w:val="23"/>
        </w:numPr>
        <w:autoSpaceDE w:val="0"/>
        <w:autoSpaceDN w:val="0"/>
        <w:adjustRightInd w:val="0"/>
        <w:snapToGrid w:val="0"/>
        <w:spacing w:line="360" w:lineRule="auto"/>
        <w:rPr>
          <w:rFonts w:ascii="宋体" w:hAnsi="宋体" w:cs="黑体"/>
          <w:b/>
          <w:bCs/>
          <w:sz w:val="24"/>
        </w:rPr>
      </w:pPr>
      <w:r>
        <w:rPr>
          <w:rFonts w:hint="eastAsia" w:ascii="宋体" w:hAnsi="宋体" w:cs="宋体"/>
          <w:sz w:val="24"/>
        </w:rPr>
        <w:t>投标人的投标文件应在</w:t>
      </w:r>
      <w:r>
        <w:rPr>
          <w:rFonts w:hint="eastAsia" w:ascii="宋体" w:hAnsi="宋体"/>
          <w:sz w:val="24"/>
        </w:rPr>
        <w:t>本项目投标截止时间前送达开标地点。</w:t>
      </w:r>
    </w:p>
    <w:p>
      <w:pPr>
        <w:numPr>
          <w:ilvl w:val="1"/>
          <w:numId w:val="23"/>
        </w:numPr>
        <w:autoSpaceDE w:val="0"/>
        <w:autoSpaceDN w:val="0"/>
        <w:adjustRightInd w:val="0"/>
        <w:snapToGrid w:val="0"/>
        <w:spacing w:line="360" w:lineRule="auto"/>
        <w:rPr>
          <w:rFonts w:ascii="宋体" w:hAnsi="宋体" w:cs="黑体"/>
          <w:b/>
          <w:bCs/>
          <w:strike/>
          <w:sz w:val="24"/>
        </w:rPr>
      </w:pPr>
      <w:r>
        <w:rPr>
          <w:rFonts w:hint="eastAsia" w:ascii="宋体" w:hAnsi="宋体" w:cs="宋体"/>
          <w:sz w:val="24"/>
        </w:rPr>
        <w:t>逾期送达或者未按照招标文件要求密封的投标文件，采购人、采购代理机构应当拒收。</w:t>
      </w:r>
    </w:p>
    <w:p>
      <w:pPr>
        <w:numPr>
          <w:ilvl w:val="0"/>
          <w:numId w:val="23"/>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投标文件的修改和撤回、撤销</w:t>
      </w:r>
    </w:p>
    <w:p>
      <w:pPr>
        <w:numPr>
          <w:ilvl w:val="1"/>
          <w:numId w:val="23"/>
        </w:numPr>
        <w:autoSpaceDE w:val="0"/>
        <w:autoSpaceDN w:val="0"/>
        <w:adjustRightInd w:val="0"/>
        <w:snapToGrid w:val="0"/>
        <w:spacing w:line="360" w:lineRule="auto"/>
        <w:rPr>
          <w:rFonts w:ascii="宋体" w:hAnsi="宋体" w:cs="黑体"/>
          <w:b/>
          <w:bCs/>
          <w:sz w:val="24"/>
        </w:rPr>
      </w:pPr>
      <w:r>
        <w:rPr>
          <w:rFonts w:hint="eastAsia" w:ascii="宋体" w:hAnsi="宋体" w:cs="宋体"/>
          <w:sz w:val="24"/>
        </w:rPr>
        <w:t>投标人在投标截止时间前，可以对所递交的投标文件进行补充、修改或者撤回，并书面通知采购代理机构。补充、修改的内容应当按招标文件要求签署、盖章和密封后，并作为投标文件的组成部分。在投标截止时间之后，投标人不得对其投标文件做任何修改和补充。</w:t>
      </w:r>
    </w:p>
    <w:p>
      <w:pPr>
        <w:numPr>
          <w:ilvl w:val="1"/>
          <w:numId w:val="23"/>
        </w:numPr>
        <w:autoSpaceDE w:val="0"/>
        <w:autoSpaceDN w:val="0"/>
        <w:adjustRightInd w:val="0"/>
        <w:snapToGrid w:val="0"/>
        <w:spacing w:line="360" w:lineRule="auto"/>
        <w:rPr>
          <w:rFonts w:ascii="宋体" w:hAnsi="宋体" w:cs="黑体"/>
          <w:b/>
          <w:bCs/>
          <w:sz w:val="24"/>
        </w:rPr>
      </w:pPr>
      <w:r>
        <w:rPr>
          <w:rFonts w:hint="eastAsia" w:ascii="宋体" w:hAnsi="宋体"/>
          <w:bCs/>
          <w:sz w:val="24"/>
        </w:rPr>
        <w:t>投标人在投标截止后或在招标文件中规定的投标有效期内不可撤销其投标。</w:t>
      </w:r>
    </w:p>
    <w:p>
      <w:pPr>
        <w:numPr>
          <w:ilvl w:val="1"/>
          <w:numId w:val="23"/>
        </w:numPr>
        <w:autoSpaceDE w:val="0"/>
        <w:autoSpaceDN w:val="0"/>
        <w:adjustRightInd w:val="0"/>
        <w:snapToGrid w:val="0"/>
        <w:spacing w:line="360" w:lineRule="auto"/>
        <w:rPr>
          <w:rFonts w:ascii="宋体" w:hAnsi="宋体" w:cs="黑体"/>
          <w:b/>
          <w:bCs/>
          <w:strike/>
          <w:sz w:val="24"/>
        </w:rPr>
      </w:pPr>
      <w:r>
        <w:rPr>
          <w:rFonts w:hint="eastAsia" w:ascii="宋体" w:hAnsi="宋体"/>
          <w:sz w:val="24"/>
        </w:rPr>
        <w:t>除投标人不足3家不得开标的情形外，投标人所提交的投标文件在本项目投标截止时间后均不予退还。</w:t>
      </w:r>
    </w:p>
    <w:p>
      <w:pPr>
        <w:numPr>
          <w:ilvl w:val="0"/>
          <w:numId w:val="17"/>
        </w:numPr>
        <w:tabs>
          <w:tab w:val="left" w:pos="4395"/>
        </w:tabs>
        <w:autoSpaceDE w:val="0"/>
        <w:autoSpaceDN w:val="0"/>
        <w:adjustRightInd w:val="0"/>
        <w:snapToGrid w:val="0"/>
        <w:spacing w:line="360" w:lineRule="auto"/>
        <w:jc w:val="center"/>
        <w:outlineLvl w:val="2"/>
        <w:rPr>
          <w:rFonts w:ascii="宋体" w:hAnsi="宋体"/>
          <w:b/>
          <w:sz w:val="28"/>
          <w:szCs w:val="28"/>
        </w:rPr>
      </w:pPr>
      <w:bookmarkStart w:id="50" w:name="_Toc4031"/>
      <w:r>
        <w:rPr>
          <w:rFonts w:hint="eastAsia" w:ascii="宋体" w:hAnsi="宋体"/>
          <w:b/>
          <w:sz w:val="28"/>
          <w:szCs w:val="28"/>
        </w:rPr>
        <w:t>开标、评标、定标与合同签订</w:t>
      </w:r>
      <w:bookmarkEnd w:id="50"/>
    </w:p>
    <w:p>
      <w:pPr>
        <w:numPr>
          <w:ilvl w:val="0"/>
          <w:numId w:val="24"/>
        </w:numPr>
        <w:autoSpaceDE w:val="0"/>
        <w:autoSpaceDN w:val="0"/>
        <w:adjustRightInd w:val="0"/>
        <w:snapToGrid w:val="0"/>
        <w:spacing w:line="360" w:lineRule="auto"/>
        <w:outlineLvl w:val="3"/>
        <w:rPr>
          <w:rFonts w:ascii="宋体" w:hAnsi="宋体"/>
          <w:b/>
          <w:bCs/>
          <w:sz w:val="24"/>
        </w:rPr>
      </w:pPr>
      <w:r>
        <w:rPr>
          <w:rFonts w:hint="eastAsia" w:ascii="宋体" w:hAnsi="宋体"/>
          <w:b/>
          <w:bCs/>
          <w:sz w:val="24"/>
        </w:rPr>
        <w:t>开标</w:t>
      </w:r>
    </w:p>
    <w:p>
      <w:pPr>
        <w:numPr>
          <w:ilvl w:val="1"/>
          <w:numId w:val="25"/>
        </w:numPr>
        <w:autoSpaceDE w:val="0"/>
        <w:autoSpaceDN w:val="0"/>
        <w:spacing w:line="360" w:lineRule="auto"/>
        <w:rPr>
          <w:rFonts w:ascii="宋体" w:hAnsi="宋体" w:cs="宋体"/>
          <w:sz w:val="24"/>
        </w:rPr>
      </w:pPr>
      <w:r>
        <w:rPr>
          <w:rFonts w:hint="eastAsia" w:ascii="宋体" w:hAnsi="宋体" w:cs="宋体"/>
          <w:sz w:val="24"/>
        </w:rPr>
        <w:t>采购代理机构在投标邀请中规定的日期、时间和地点组织开标会议。开标时邀请所有投标人代表参加。</w:t>
      </w:r>
    </w:p>
    <w:p>
      <w:pPr>
        <w:numPr>
          <w:ilvl w:val="1"/>
          <w:numId w:val="25"/>
        </w:numPr>
        <w:autoSpaceDE w:val="0"/>
        <w:autoSpaceDN w:val="0"/>
        <w:spacing w:line="360" w:lineRule="auto"/>
        <w:rPr>
          <w:rFonts w:ascii="宋体" w:hAnsi="宋体" w:cs="宋体"/>
          <w:sz w:val="24"/>
        </w:rPr>
      </w:pPr>
      <w:r>
        <w:rPr>
          <w:rFonts w:hint="eastAsia" w:ascii="宋体" w:hAnsi="宋体" w:cs="宋体"/>
          <w:sz w:val="24"/>
        </w:rPr>
        <w:t>开标时，由投标人或者其推选的代表检查投标文件的密封情况；经确认无误后，由采购人或者采购代理机构工作人员当众拆封，宣布投标人名称、投标价格和招标文件规定的需要宣布的其他内容。</w:t>
      </w:r>
    </w:p>
    <w:p>
      <w:pPr>
        <w:numPr>
          <w:ilvl w:val="1"/>
          <w:numId w:val="25"/>
        </w:numPr>
        <w:autoSpaceDE w:val="0"/>
        <w:autoSpaceDN w:val="0"/>
        <w:spacing w:line="360" w:lineRule="auto"/>
        <w:rPr>
          <w:rFonts w:ascii="宋体" w:hAnsi="宋体" w:cs="宋体"/>
          <w:sz w:val="24"/>
        </w:rPr>
      </w:pPr>
      <w:r>
        <w:rPr>
          <w:rFonts w:hint="eastAsia" w:ascii="宋体" w:hAnsi="宋体" w:cs="宋体"/>
          <w:sz w:val="24"/>
        </w:rPr>
        <w:t>开标过程应当由采购人或者采购代理机构负责记录，由参加开标的各投标人代表和相关工作人员签字确认。</w:t>
      </w:r>
    </w:p>
    <w:p>
      <w:pPr>
        <w:numPr>
          <w:ilvl w:val="1"/>
          <w:numId w:val="25"/>
        </w:numPr>
        <w:autoSpaceDE w:val="0"/>
        <w:autoSpaceDN w:val="0"/>
        <w:spacing w:line="360" w:lineRule="auto"/>
        <w:rPr>
          <w:rFonts w:ascii="宋体" w:hAnsi="宋体" w:cs="宋体"/>
          <w:sz w:val="24"/>
        </w:rPr>
      </w:pPr>
      <w:r>
        <w:rPr>
          <w:rFonts w:hint="eastAsia" w:ascii="宋体" w:hAnsi="宋体" w:cs="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numPr>
          <w:ilvl w:val="1"/>
          <w:numId w:val="25"/>
        </w:numPr>
        <w:autoSpaceDE w:val="0"/>
        <w:autoSpaceDN w:val="0"/>
        <w:spacing w:line="360" w:lineRule="auto"/>
        <w:rPr>
          <w:rFonts w:ascii="宋体" w:hAnsi="宋体" w:cs="宋体"/>
          <w:sz w:val="24"/>
        </w:rPr>
      </w:pPr>
      <w:r>
        <w:rPr>
          <w:rFonts w:hint="eastAsia" w:ascii="宋体" w:hAnsi="宋体" w:cs="宋体"/>
          <w:sz w:val="24"/>
        </w:rPr>
        <w:t>投标人未参加开标的，视同认可开标结果。</w:t>
      </w:r>
    </w:p>
    <w:p>
      <w:pPr>
        <w:numPr>
          <w:ilvl w:val="0"/>
          <w:numId w:val="24"/>
        </w:numPr>
        <w:autoSpaceDE w:val="0"/>
        <w:autoSpaceDN w:val="0"/>
        <w:adjustRightInd w:val="0"/>
        <w:snapToGrid w:val="0"/>
        <w:spacing w:line="360" w:lineRule="auto"/>
        <w:ind w:left="0" w:firstLine="0"/>
        <w:outlineLvl w:val="3"/>
        <w:rPr>
          <w:rFonts w:ascii="宋体" w:hAnsi="宋体"/>
          <w:b/>
          <w:bCs/>
          <w:sz w:val="24"/>
        </w:rPr>
      </w:pPr>
      <w:r>
        <w:rPr>
          <w:rFonts w:hint="eastAsia" w:ascii="宋体" w:hAnsi="宋体"/>
          <w:b/>
          <w:bCs/>
          <w:sz w:val="24"/>
        </w:rPr>
        <w:t>评标</w:t>
      </w:r>
    </w:p>
    <w:p>
      <w:pPr>
        <w:pStyle w:val="101"/>
        <w:widowControl/>
        <w:numPr>
          <w:ilvl w:val="0"/>
          <w:numId w:val="26"/>
        </w:numPr>
        <w:adjustRightInd w:val="0"/>
        <w:snapToGrid w:val="0"/>
        <w:spacing w:line="360" w:lineRule="auto"/>
        <w:ind w:left="426" w:hanging="426" w:firstLineChars="0"/>
        <w:jc w:val="left"/>
        <w:rPr>
          <w:rFonts w:ascii="宋体" w:hAnsi="宋体"/>
          <w:b/>
          <w:bCs/>
          <w:sz w:val="24"/>
        </w:rPr>
      </w:pPr>
      <w:r>
        <w:rPr>
          <w:rFonts w:hint="eastAsia" w:ascii="宋体" w:hAnsi="宋体"/>
          <w:b/>
          <w:bCs/>
          <w:sz w:val="24"/>
        </w:rPr>
        <w:t>评标委员会组成及职责</w:t>
      </w:r>
    </w:p>
    <w:p>
      <w:pPr>
        <w:pStyle w:val="101"/>
        <w:widowControl/>
        <w:numPr>
          <w:ilvl w:val="0"/>
          <w:numId w:val="27"/>
        </w:numPr>
        <w:adjustRightInd w:val="0"/>
        <w:snapToGrid w:val="0"/>
        <w:spacing w:line="360" w:lineRule="auto"/>
        <w:ind w:left="426" w:firstLineChars="0"/>
        <w:jc w:val="left"/>
        <w:rPr>
          <w:rFonts w:ascii="宋体" w:hAnsi="宋体" w:cs="宋体"/>
          <w:sz w:val="24"/>
        </w:rPr>
      </w:pPr>
      <w:r>
        <w:rPr>
          <w:rFonts w:hint="eastAsia" w:ascii="宋体" w:hAnsi="宋体" w:cs="宋体"/>
          <w:sz w:val="24"/>
        </w:rPr>
        <w:t>本次招标依法组建评标委员会，评标委员会成员人数</w:t>
      </w:r>
      <w:r>
        <w:rPr>
          <w:rFonts w:hint="eastAsia" w:ascii="宋体" w:hAnsi="宋体" w:cs="宋体"/>
          <w:b/>
          <w:sz w:val="24"/>
        </w:rPr>
        <w:t>详见投标人须知前附表</w:t>
      </w:r>
      <w:r>
        <w:rPr>
          <w:rFonts w:hint="eastAsia" w:ascii="宋体" w:hAnsi="宋体" w:cs="宋体"/>
          <w:sz w:val="24"/>
        </w:rPr>
        <w:t>。</w:t>
      </w:r>
    </w:p>
    <w:p>
      <w:pPr>
        <w:pStyle w:val="101"/>
        <w:widowControl/>
        <w:numPr>
          <w:ilvl w:val="0"/>
          <w:numId w:val="27"/>
        </w:numPr>
        <w:adjustRightInd w:val="0"/>
        <w:snapToGrid w:val="0"/>
        <w:spacing w:line="360" w:lineRule="auto"/>
        <w:ind w:left="709" w:hanging="703" w:firstLineChars="0"/>
        <w:jc w:val="left"/>
        <w:rPr>
          <w:rFonts w:ascii="宋体" w:hAnsi="宋体" w:cs="宋体"/>
          <w:sz w:val="24"/>
        </w:rPr>
      </w:pPr>
      <w:r>
        <w:rPr>
          <w:rFonts w:hint="eastAsia" w:ascii="宋体" w:hAnsi="宋体" w:cs="宋体"/>
          <w:sz w:val="24"/>
        </w:rPr>
        <w:t>评标委员会成员名单在评标结果公告前应当保密。评审专家有下列情形之一的，受到邀请应主动提出回避，采购当事人也可以要求该评审专家回避：</w:t>
      </w:r>
    </w:p>
    <w:p>
      <w:pPr>
        <w:pStyle w:val="101"/>
        <w:widowControl/>
        <w:numPr>
          <w:ilvl w:val="1"/>
          <w:numId w:val="28"/>
        </w:numPr>
        <w:tabs>
          <w:tab w:val="left" w:pos="567"/>
        </w:tabs>
        <w:adjustRightInd w:val="0"/>
        <w:snapToGrid w:val="0"/>
        <w:spacing w:line="360" w:lineRule="auto"/>
        <w:ind w:hanging="136" w:firstLineChars="0"/>
        <w:jc w:val="left"/>
        <w:rPr>
          <w:rFonts w:ascii="宋体" w:hAnsi="宋体"/>
          <w:bCs/>
          <w:sz w:val="24"/>
        </w:rPr>
      </w:pPr>
      <w:r>
        <w:rPr>
          <w:rFonts w:hint="eastAsia" w:ascii="宋体" w:hAnsi="宋体"/>
          <w:bCs/>
          <w:sz w:val="24"/>
        </w:rPr>
        <w:t>参加采购活动前3年内与投标人存在劳动关系；</w:t>
      </w:r>
    </w:p>
    <w:p>
      <w:pPr>
        <w:pStyle w:val="101"/>
        <w:widowControl/>
        <w:numPr>
          <w:ilvl w:val="1"/>
          <w:numId w:val="28"/>
        </w:numPr>
        <w:tabs>
          <w:tab w:val="left" w:pos="567"/>
        </w:tabs>
        <w:adjustRightInd w:val="0"/>
        <w:snapToGrid w:val="0"/>
        <w:spacing w:line="360" w:lineRule="auto"/>
        <w:ind w:hanging="136" w:firstLineChars="0"/>
        <w:jc w:val="left"/>
        <w:rPr>
          <w:rFonts w:ascii="宋体" w:hAnsi="宋体"/>
          <w:bCs/>
          <w:sz w:val="24"/>
        </w:rPr>
      </w:pPr>
      <w:r>
        <w:rPr>
          <w:rFonts w:hint="eastAsia" w:ascii="宋体" w:hAnsi="宋体"/>
          <w:bCs/>
          <w:sz w:val="24"/>
        </w:rPr>
        <w:t>参加采购活动前3年内担任投标人的董事、监事；</w:t>
      </w:r>
    </w:p>
    <w:p>
      <w:pPr>
        <w:pStyle w:val="101"/>
        <w:widowControl/>
        <w:numPr>
          <w:ilvl w:val="1"/>
          <w:numId w:val="28"/>
        </w:numPr>
        <w:tabs>
          <w:tab w:val="left" w:pos="567"/>
        </w:tabs>
        <w:adjustRightInd w:val="0"/>
        <w:snapToGrid w:val="0"/>
        <w:spacing w:line="360" w:lineRule="auto"/>
        <w:ind w:hanging="136" w:firstLineChars="0"/>
        <w:jc w:val="left"/>
        <w:rPr>
          <w:rFonts w:ascii="宋体" w:hAnsi="宋体"/>
          <w:bCs/>
          <w:sz w:val="24"/>
        </w:rPr>
      </w:pPr>
      <w:r>
        <w:rPr>
          <w:rFonts w:hint="eastAsia" w:ascii="宋体" w:hAnsi="宋体"/>
          <w:bCs/>
          <w:sz w:val="24"/>
        </w:rPr>
        <w:t>参加采购活动前3年内是投标人的控股股东或者实际控制人；</w:t>
      </w:r>
    </w:p>
    <w:p>
      <w:pPr>
        <w:pStyle w:val="101"/>
        <w:widowControl/>
        <w:numPr>
          <w:ilvl w:val="1"/>
          <w:numId w:val="28"/>
        </w:numPr>
        <w:tabs>
          <w:tab w:val="left" w:pos="567"/>
        </w:tabs>
        <w:adjustRightInd w:val="0"/>
        <w:snapToGrid w:val="0"/>
        <w:spacing w:line="360" w:lineRule="auto"/>
        <w:ind w:hanging="136" w:firstLineChars="0"/>
        <w:jc w:val="left"/>
        <w:rPr>
          <w:rFonts w:ascii="宋体" w:hAnsi="宋体"/>
          <w:bCs/>
          <w:sz w:val="24"/>
        </w:rPr>
      </w:pPr>
      <w:r>
        <w:rPr>
          <w:rFonts w:hint="eastAsia" w:ascii="宋体" w:hAnsi="宋体"/>
          <w:bCs/>
          <w:sz w:val="24"/>
        </w:rPr>
        <w:t>与投标人的法定代表人或者负责人有夫妻、直系血亲、三代以内旁系血亲或者近姻亲关系；</w:t>
      </w:r>
    </w:p>
    <w:p>
      <w:pPr>
        <w:pStyle w:val="101"/>
        <w:widowControl/>
        <w:numPr>
          <w:ilvl w:val="1"/>
          <w:numId w:val="28"/>
        </w:numPr>
        <w:tabs>
          <w:tab w:val="left" w:pos="567"/>
        </w:tabs>
        <w:adjustRightInd w:val="0"/>
        <w:snapToGrid w:val="0"/>
        <w:spacing w:line="360" w:lineRule="auto"/>
        <w:ind w:hanging="136" w:firstLineChars="0"/>
        <w:jc w:val="left"/>
        <w:rPr>
          <w:rFonts w:ascii="宋体" w:hAnsi="宋体"/>
          <w:bCs/>
          <w:sz w:val="24"/>
        </w:rPr>
      </w:pPr>
      <w:r>
        <w:rPr>
          <w:rFonts w:hint="eastAsia" w:ascii="宋体" w:hAnsi="宋体"/>
          <w:bCs/>
          <w:sz w:val="24"/>
        </w:rPr>
        <w:t>与投标人有其他可能影响采购活动公平、公正进行的关系。</w:t>
      </w:r>
    </w:p>
    <w:p>
      <w:pPr>
        <w:pStyle w:val="101"/>
        <w:widowControl/>
        <w:numPr>
          <w:ilvl w:val="0"/>
          <w:numId w:val="27"/>
        </w:numPr>
        <w:adjustRightInd w:val="0"/>
        <w:snapToGrid w:val="0"/>
        <w:spacing w:line="360" w:lineRule="auto"/>
        <w:ind w:left="709" w:hanging="703" w:firstLineChars="0"/>
        <w:jc w:val="left"/>
        <w:rPr>
          <w:rFonts w:ascii="宋体" w:hAnsi="宋体" w:cs="宋体"/>
          <w:sz w:val="24"/>
        </w:rPr>
      </w:pPr>
      <w:r>
        <w:rPr>
          <w:rFonts w:hint="eastAsia" w:ascii="宋体" w:hAnsi="宋体" w:cs="宋体"/>
          <w:sz w:val="24"/>
        </w:rPr>
        <w:t>评标委员会成员和参与评标的有关工作人员不得透露对投标文件的评审和比较、中标候选人的推荐情况以及与评标有关的其他情况。</w:t>
      </w:r>
    </w:p>
    <w:p>
      <w:pPr>
        <w:pStyle w:val="101"/>
        <w:widowControl/>
        <w:numPr>
          <w:ilvl w:val="0"/>
          <w:numId w:val="27"/>
        </w:numPr>
        <w:adjustRightInd w:val="0"/>
        <w:snapToGrid w:val="0"/>
        <w:spacing w:line="360" w:lineRule="auto"/>
        <w:ind w:left="709" w:hanging="703" w:firstLineChars="0"/>
        <w:jc w:val="left"/>
        <w:rPr>
          <w:rFonts w:ascii="宋体" w:hAnsi="宋体" w:cs="宋体"/>
          <w:sz w:val="24"/>
        </w:rPr>
      </w:pPr>
      <w:r>
        <w:rPr>
          <w:rFonts w:hint="eastAsia" w:ascii="宋体" w:hAnsi="宋体" w:cs="宋体"/>
          <w:sz w:val="24"/>
        </w:rPr>
        <w:t>评标委员会负责具体评标事务，并独立履行下列职责：</w:t>
      </w:r>
    </w:p>
    <w:p>
      <w:pPr>
        <w:pStyle w:val="101"/>
        <w:widowControl/>
        <w:numPr>
          <w:ilvl w:val="0"/>
          <w:numId w:val="29"/>
        </w:numPr>
        <w:tabs>
          <w:tab w:val="left" w:pos="567"/>
        </w:tabs>
        <w:adjustRightInd w:val="0"/>
        <w:snapToGrid w:val="0"/>
        <w:spacing w:line="360" w:lineRule="auto"/>
        <w:ind w:hanging="136" w:firstLineChars="0"/>
        <w:jc w:val="left"/>
        <w:rPr>
          <w:rFonts w:ascii="宋体" w:hAnsi="宋体"/>
          <w:bCs/>
          <w:sz w:val="24"/>
        </w:rPr>
      </w:pPr>
      <w:r>
        <w:rPr>
          <w:rFonts w:hint="eastAsia" w:ascii="宋体" w:hAnsi="宋体"/>
          <w:bCs/>
          <w:sz w:val="24"/>
        </w:rPr>
        <w:t>审查、评价投标文件是否符合招标文件的商务、技术等实质性要求；</w:t>
      </w:r>
    </w:p>
    <w:p>
      <w:pPr>
        <w:pStyle w:val="101"/>
        <w:widowControl/>
        <w:numPr>
          <w:ilvl w:val="0"/>
          <w:numId w:val="29"/>
        </w:numPr>
        <w:tabs>
          <w:tab w:val="left" w:pos="567"/>
        </w:tabs>
        <w:adjustRightInd w:val="0"/>
        <w:snapToGrid w:val="0"/>
        <w:spacing w:line="360" w:lineRule="auto"/>
        <w:ind w:hanging="136" w:firstLineChars="0"/>
        <w:jc w:val="left"/>
        <w:rPr>
          <w:rFonts w:ascii="宋体" w:hAnsi="宋体"/>
          <w:bCs/>
          <w:sz w:val="24"/>
        </w:rPr>
      </w:pPr>
      <w:r>
        <w:rPr>
          <w:rFonts w:hint="eastAsia" w:ascii="宋体" w:hAnsi="宋体"/>
          <w:bCs/>
          <w:sz w:val="24"/>
        </w:rPr>
        <w:t>要求投标人对投标文件有关事项作出澄清或者说明；</w:t>
      </w:r>
    </w:p>
    <w:p>
      <w:pPr>
        <w:pStyle w:val="101"/>
        <w:widowControl/>
        <w:numPr>
          <w:ilvl w:val="0"/>
          <w:numId w:val="29"/>
        </w:numPr>
        <w:tabs>
          <w:tab w:val="left" w:pos="567"/>
        </w:tabs>
        <w:adjustRightInd w:val="0"/>
        <w:snapToGrid w:val="0"/>
        <w:spacing w:line="360" w:lineRule="auto"/>
        <w:ind w:hanging="136" w:firstLineChars="0"/>
        <w:jc w:val="left"/>
        <w:rPr>
          <w:rFonts w:ascii="宋体" w:hAnsi="宋体"/>
          <w:bCs/>
          <w:sz w:val="24"/>
        </w:rPr>
      </w:pPr>
      <w:r>
        <w:rPr>
          <w:rFonts w:hint="eastAsia" w:ascii="宋体" w:hAnsi="宋体"/>
          <w:bCs/>
          <w:sz w:val="24"/>
        </w:rPr>
        <w:t>对投标文件进行比较和评价；</w:t>
      </w:r>
    </w:p>
    <w:p>
      <w:pPr>
        <w:pStyle w:val="101"/>
        <w:widowControl/>
        <w:numPr>
          <w:ilvl w:val="0"/>
          <w:numId w:val="29"/>
        </w:numPr>
        <w:tabs>
          <w:tab w:val="left" w:pos="567"/>
        </w:tabs>
        <w:adjustRightInd w:val="0"/>
        <w:snapToGrid w:val="0"/>
        <w:spacing w:line="360" w:lineRule="auto"/>
        <w:ind w:hanging="136" w:firstLineChars="0"/>
        <w:jc w:val="left"/>
        <w:rPr>
          <w:rFonts w:ascii="宋体" w:hAnsi="宋体"/>
          <w:bCs/>
          <w:sz w:val="24"/>
        </w:rPr>
      </w:pPr>
      <w:r>
        <w:rPr>
          <w:rFonts w:hint="eastAsia" w:ascii="宋体" w:hAnsi="宋体"/>
          <w:bCs/>
          <w:sz w:val="24"/>
        </w:rPr>
        <w:t>确定中标候选人名单；</w:t>
      </w:r>
    </w:p>
    <w:p>
      <w:pPr>
        <w:pStyle w:val="101"/>
        <w:widowControl/>
        <w:numPr>
          <w:ilvl w:val="0"/>
          <w:numId w:val="29"/>
        </w:numPr>
        <w:tabs>
          <w:tab w:val="left" w:pos="567"/>
        </w:tabs>
        <w:adjustRightInd w:val="0"/>
        <w:snapToGrid w:val="0"/>
        <w:spacing w:line="360" w:lineRule="auto"/>
        <w:ind w:hanging="136" w:firstLineChars="0"/>
        <w:jc w:val="left"/>
        <w:rPr>
          <w:rFonts w:ascii="宋体" w:hAnsi="宋体"/>
          <w:bCs/>
          <w:sz w:val="24"/>
        </w:rPr>
      </w:pPr>
      <w:r>
        <w:rPr>
          <w:rFonts w:hint="eastAsia" w:ascii="宋体" w:hAnsi="宋体"/>
          <w:bCs/>
          <w:sz w:val="24"/>
        </w:rPr>
        <w:t>向采购人、采购代理机构或者有关部门报告评标中发现的违法行为。</w:t>
      </w:r>
    </w:p>
    <w:p>
      <w:pPr>
        <w:pStyle w:val="101"/>
        <w:widowControl/>
        <w:numPr>
          <w:ilvl w:val="0"/>
          <w:numId w:val="27"/>
        </w:numPr>
        <w:adjustRightInd w:val="0"/>
        <w:snapToGrid w:val="0"/>
        <w:spacing w:line="360" w:lineRule="auto"/>
        <w:ind w:left="709" w:hanging="703" w:firstLineChars="0"/>
        <w:jc w:val="left"/>
        <w:rPr>
          <w:rFonts w:ascii="宋体" w:hAnsi="宋体" w:cs="宋体"/>
          <w:sz w:val="24"/>
        </w:rPr>
      </w:pPr>
      <w:r>
        <w:rPr>
          <w:rFonts w:hint="eastAsia" w:ascii="宋体" w:hAnsi="宋体" w:cs="宋体"/>
          <w:sz w:val="24"/>
        </w:rPr>
        <w:t>对于投标文件中含义不明确、同类问题表述不一致或者有明显文字和计算错误的内容，评标委员会应当以书面形式要求投标人作出必要的澄清、说明或者补正。</w:t>
      </w:r>
    </w:p>
    <w:p>
      <w:pPr>
        <w:pStyle w:val="101"/>
        <w:widowControl/>
        <w:numPr>
          <w:ilvl w:val="0"/>
          <w:numId w:val="27"/>
        </w:numPr>
        <w:adjustRightInd w:val="0"/>
        <w:snapToGrid w:val="0"/>
        <w:spacing w:line="360" w:lineRule="auto"/>
        <w:ind w:left="709" w:hanging="703" w:firstLineChars="0"/>
        <w:jc w:val="left"/>
        <w:rPr>
          <w:rFonts w:ascii="宋体" w:hAnsi="宋体" w:cs="宋体"/>
          <w:sz w:val="24"/>
          <w:lang w:eastAsia="zh-TW"/>
        </w:rPr>
      </w:pPr>
      <w:r>
        <w:rPr>
          <w:rFonts w:hint="eastAsia" w:ascii="宋体" w:hAnsi="宋体" w:cs="宋体"/>
          <w:sz w:val="24"/>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 w:val="24"/>
          <w:lang w:eastAsia="zh-TW"/>
        </w:rPr>
        <w:t>投标人的澄清文件是其投标文件的组成部分。</w:t>
      </w:r>
    </w:p>
    <w:p>
      <w:pPr>
        <w:pStyle w:val="101"/>
        <w:widowControl/>
        <w:numPr>
          <w:ilvl w:val="0"/>
          <w:numId w:val="27"/>
        </w:numPr>
        <w:adjustRightInd w:val="0"/>
        <w:snapToGrid w:val="0"/>
        <w:spacing w:line="360" w:lineRule="auto"/>
        <w:ind w:left="709" w:hanging="703" w:firstLineChars="0"/>
        <w:jc w:val="left"/>
        <w:rPr>
          <w:rFonts w:ascii="宋体" w:hAnsi="宋体" w:cs="宋体"/>
          <w:sz w:val="24"/>
        </w:rPr>
      </w:pPr>
      <w:r>
        <w:rPr>
          <w:rFonts w:hint="eastAsia" w:ascii="宋体" w:hAnsi="宋体" w:cs="宋体"/>
          <w:sz w:val="24"/>
        </w:rPr>
        <w:t>评标委员会决定投标的响应性只根据投标文件中提供的材料内容，而不依据外部的材料证据。</w:t>
      </w:r>
    </w:p>
    <w:p>
      <w:pPr>
        <w:pStyle w:val="101"/>
        <w:widowControl/>
        <w:numPr>
          <w:ilvl w:val="0"/>
          <w:numId w:val="26"/>
        </w:numPr>
        <w:adjustRightInd w:val="0"/>
        <w:snapToGrid w:val="0"/>
        <w:spacing w:line="360" w:lineRule="auto"/>
        <w:ind w:left="426" w:hanging="426" w:firstLineChars="0"/>
        <w:jc w:val="left"/>
        <w:rPr>
          <w:rFonts w:ascii="宋体" w:hAnsi="宋体"/>
          <w:b/>
          <w:bCs/>
          <w:sz w:val="24"/>
        </w:rPr>
      </w:pPr>
      <w:r>
        <w:rPr>
          <w:rFonts w:hint="eastAsia" w:ascii="宋体" w:hAnsi="宋体"/>
          <w:b/>
          <w:bCs/>
          <w:sz w:val="24"/>
        </w:rPr>
        <w:t>评标方法</w:t>
      </w:r>
    </w:p>
    <w:p>
      <w:pPr>
        <w:pStyle w:val="101"/>
        <w:widowControl/>
        <w:numPr>
          <w:ilvl w:val="0"/>
          <w:numId w:val="30"/>
        </w:numPr>
        <w:adjustRightInd w:val="0"/>
        <w:snapToGrid w:val="0"/>
        <w:spacing w:line="360" w:lineRule="auto"/>
        <w:ind w:left="426" w:hanging="426" w:firstLineChars="0"/>
        <w:jc w:val="left"/>
        <w:rPr>
          <w:rFonts w:ascii="宋体" w:hAnsi="宋体"/>
          <w:sz w:val="24"/>
        </w:rPr>
      </w:pPr>
      <w:r>
        <w:rPr>
          <w:rFonts w:hint="eastAsia" w:ascii="宋体" w:hAnsi="宋体"/>
          <w:sz w:val="24"/>
        </w:rPr>
        <w:t>本项目按照</w:t>
      </w:r>
      <w:r>
        <w:rPr>
          <w:rFonts w:hint="eastAsia" w:ascii="宋体" w:hAnsi="宋体"/>
          <w:b/>
          <w:sz w:val="24"/>
        </w:rPr>
        <w:t>投标人须知前附表及评标方法和标准</w:t>
      </w:r>
      <w:r>
        <w:rPr>
          <w:rFonts w:hint="eastAsia" w:ascii="宋体" w:hAnsi="宋体"/>
          <w:sz w:val="24"/>
        </w:rPr>
        <w:t>规定的评标方法进行评审。</w:t>
      </w:r>
    </w:p>
    <w:p>
      <w:pPr>
        <w:pStyle w:val="101"/>
        <w:widowControl/>
        <w:numPr>
          <w:ilvl w:val="0"/>
          <w:numId w:val="30"/>
        </w:numPr>
        <w:adjustRightInd w:val="0"/>
        <w:snapToGrid w:val="0"/>
        <w:spacing w:line="360" w:lineRule="auto"/>
        <w:ind w:left="426" w:hanging="426" w:firstLineChars="0"/>
        <w:jc w:val="left"/>
        <w:rPr>
          <w:rFonts w:ascii="宋体" w:hAnsi="宋体"/>
          <w:sz w:val="24"/>
        </w:rPr>
      </w:pPr>
      <w:r>
        <w:rPr>
          <w:rFonts w:hint="eastAsia" w:hAnsi="宋体"/>
          <w:sz w:val="24"/>
        </w:rPr>
        <w:t>综合评分法：</w:t>
      </w:r>
    </w:p>
    <w:p>
      <w:pPr>
        <w:pStyle w:val="101"/>
        <w:widowControl/>
        <w:numPr>
          <w:ilvl w:val="0"/>
          <w:numId w:val="31"/>
        </w:numPr>
        <w:tabs>
          <w:tab w:val="left" w:pos="567"/>
        </w:tabs>
        <w:adjustRightInd w:val="0"/>
        <w:snapToGrid w:val="0"/>
        <w:spacing w:line="360" w:lineRule="auto"/>
        <w:ind w:left="567" w:hanging="283" w:firstLineChars="0"/>
        <w:jc w:val="left"/>
        <w:rPr>
          <w:rFonts w:ascii="宋体" w:hAnsi="宋体"/>
          <w:bCs/>
          <w:sz w:val="24"/>
        </w:rPr>
      </w:pPr>
      <w:r>
        <w:rPr>
          <w:rFonts w:hint="eastAsia" w:ascii="宋体" w:hAnsi="宋体"/>
          <w:bCs/>
          <w:sz w:val="24"/>
        </w:rPr>
        <w:t>综合评分法，是指投标文件满足招标文件全部实质性要求，且按照评审因素的量化指标评审得分最高的投标人为中标候选人的评标方法。</w:t>
      </w:r>
    </w:p>
    <w:p>
      <w:pPr>
        <w:pStyle w:val="101"/>
        <w:widowControl/>
        <w:numPr>
          <w:ilvl w:val="0"/>
          <w:numId w:val="31"/>
        </w:numPr>
        <w:tabs>
          <w:tab w:val="left" w:pos="567"/>
        </w:tabs>
        <w:adjustRightInd w:val="0"/>
        <w:snapToGrid w:val="0"/>
        <w:spacing w:line="360" w:lineRule="auto"/>
        <w:ind w:hanging="136" w:firstLineChars="0"/>
        <w:jc w:val="left"/>
        <w:rPr>
          <w:rFonts w:ascii="宋体" w:hAnsi="宋体"/>
          <w:bCs/>
          <w:sz w:val="24"/>
        </w:rPr>
      </w:pPr>
      <w:r>
        <w:rPr>
          <w:rFonts w:hint="eastAsia" w:ascii="宋体" w:hAnsi="宋体"/>
          <w:bCs/>
          <w:sz w:val="24"/>
        </w:rPr>
        <w:t>评标步骤：</w:t>
      </w:r>
    </w:p>
    <w:p>
      <w:pPr>
        <w:pStyle w:val="101"/>
        <w:widowControl/>
        <w:numPr>
          <w:ilvl w:val="0"/>
          <w:numId w:val="32"/>
        </w:numPr>
        <w:tabs>
          <w:tab w:val="left" w:pos="567"/>
        </w:tabs>
        <w:adjustRightInd w:val="0"/>
        <w:snapToGrid w:val="0"/>
        <w:spacing w:line="360" w:lineRule="auto"/>
        <w:ind w:left="567" w:hanging="284" w:firstLineChars="0"/>
        <w:jc w:val="left"/>
        <w:rPr>
          <w:rFonts w:ascii="宋体" w:cs="宋体"/>
          <w:sz w:val="24"/>
        </w:rPr>
      </w:pPr>
      <w:r>
        <w:rPr>
          <w:rFonts w:hint="eastAsia" w:ascii="宋体" w:hAnsi="宋体"/>
          <w:bCs/>
          <w:sz w:val="24"/>
        </w:rPr>
        <w:t>资格性审查：</w:t>
      </w:r>
      <w:r>
        <w:rPr>
          <w:rFonts w:hint="eastAsia" w:ascii="宋体" w:hAnsi="宋体"/>
          <w:bCs/>
          <w:sz w:val="24"/>
          <w:lang w:val="en-US" w:eastAsia="zh-CN"/>
        </w:rPr>
        <w:t>评标委员会</w:t>
      </w:r>
      <w:r>
        <w:rPr>
          <w:rFonts w:hint="eastAsia" w:ascii="宋体" w:cs="宋体"/>
          <w:sz w:val="24"/>
        </w:rPr>
        <w:t>对投标人的资格进行审查，详见《资格性审查表》。未通过资格性审查的投标人，不进入符合性审查。</w:t>
      </w:r>
    </w:p>
    <w:p>
      <w:pPr>
        <w:pStyle w:val="101"/>
        <w:widowControl/>
        <w:numPr>
          <w:ilvl w:val="0"/>
          <w:numId w:val="32"/>
        </w:numPr>
        <w:tabs>
          <w:tab w:val="left" w:pos="426"/>
          <w:tab w:val="left" w:pos="567"/>
        </w:tabs>
        <w:adjustRightInd w:val="0"/>
        <w:snapToGrid w:val="0"/>
        <w:spacing w:line="360" w:lineRule="auto"/>
        <w:ind w:left="567" w:hanging="284" w:firstLineChars="0"/>
        <w:jc w:val="left"/>
        <w:rPr>
          <w:rFonts w:ascii="宋体" w:cs="宋体"/>
          <w:sz w:val="24"/>
        </w:rPr>
      </w:pPr>
      <w:r>
        <w:rPr>
          <w:rFonts w:hint="eastAsia" w:ascii="宋体" w:cs="宋体"/>
          <w:sz w:val="24"/>
        </w:rPr>
        <w:t>符合性审查：评标委员会应当对通过资格性审查的投标人的投标文件进行符合性审查，详见《符合性审查表》，以确定其是否满足招标文件的实质性要求。未通过符合性审查的投标人，不进入技术、商务和价格评审。</w:t>
      </w:r>
    </w:p>
    <w:p>
      <w:pPr>
        <w:pStyle w:val="101"/>
        <w:widowControl/>
        <w:numPr>
          <w:ilvl w:val="0"/>
          <w:numId w:val="32"/>
        </w:numPr>
        <w:tabs>
          <w:tab w:val="left" w:pos="567"/>
        </w:tabs>
        <w:adjustRightInd w:val="0"/>
        <w:snapToGrid w:val="0"/>
        <w:spacing w:line="360" w:lineRule="auto"/>
        <w:ind w:left="567" w:hanging="283" w:firstLineChars="0"/>
        <w:jc w:val="left"/>
        <w:rPr>
          <w:rFonts w:ascii="宋体" w:cs="宋体"/>
          <w:sz w:val="24"/>
        </w:rPr>
      </w:pPr>
      <w:r>
        <w:rPr>
          <w:rFonts w:hint="eastAsia" w:ascii="宋体" w:cs="宋体"/>
          <w:sz w:val="24"/>
        </w:rPr>
        <w:t>详细评审：评标委员会对符合性审查合格的投标文件进行技术、商务评估，综合比较与评价。具体技术、商务、价格部分的评审因素详见《综合评分表》。</w:t>
      </w:r>
    </w:p>
    <w:p>
      <w:pPr>
        <w:pStyle w:val="101"/>
        <w:widowControl/>
        <w:numPr>
          <w:ilvl w:val="0"/>
          <w:numId w:val="32"/>
        </w:numPr>
        <w:adjustRightInd w:val="0"/>
        <w:snapToGrid w:val="0"/>
        <w:spacing w:line="360" w:lineRule="auto"/>
        <w:ind w:left="567" w:hanging="283" w:firstLineChars="0"/>
        <w:jc w:val="left"/>
        <w:rPr>
          <w:rFonts w:ascii="宋体" w:hAnsi="宋体"/>
          <w:sz w:val="24"/>
        </w:rPr>
      </w:pPr>
      <w:r>
        <w:rPr>
          <w:rFonts w:hint="eastAsia" w:ascii="宋体" w:hAnsi="宋体"/>
          <w:sz w:val="24"/>
        </w:rPr>
        <w:t>评标过程中，不得去掉报价中的最高报价和最低报价。</w:t>
      </w:r>
    </w:p>
    <w:p>
      <w:pPr>
        <w:pStyle w:val="101"/>
        <w:widowControl/>
        <w:numPr>
          <w:ilvl w:val="0"/>
          <w:numId w:val="32"/>
        </w:numPr>
        <w:adjustRightInd w:val="0"/>
        <w:snapToGrid w:val="0"/>
        <w:spacing w:line="360" w:lineRule="auto"/>
        <w:ind w:left="567" w:hanging="283" w:firstLineChars="0"/>
        <w:jc w:val="left"/>
        <w:rPr>
          <w:rFonts w:ascii="宋体" w:hAnsi="宋体"/>
          <w:sz w:val="24"/>
        </w:rPr>
      </w:pPr>
      <w:r>
        <w:rPr>
          <w:rFonts w:hint="eastAsia" w:ascii="宋体" w:hAnsi="宋体"/>
          <w:sz w:val="24"/>
        </w:rPr>
        <w:t>评标时，评标委员会各成员应当独立对每个投标人的投标文件进行评价，并汇总每个投标人的得分。</w:t>
      </w:r>
    </w:p>
    <w:p>
      <w:pPr>
        <w:pStyle w:val="101"/>
        <w:widowControl/>
        <w:numPr>
          <w:ilvl w:val="0"/>
          <w:numId w:val="32"/>
        </w:numPr>
        <w:adjustRightInd w:val="0"/>
        <w:snapToGrid w:val="0"/>
        <w:spacing w:line="360" w:lineRule="auto"/>
        <w:ind w:left="567" w:hanging="283" w:firstLineChars="0"/>
        <w:jc w:val="left"/>
        <w:rPr>
          <w:rFonts w:ascii="宋体" w:hAnsi="宋体"/>
          <w:sz w:val="24"/>
        </w:rPr>
      </w:pPr>
      <w:r>
        <w:rPr>
          <w:rFonts w:hint="eastAsia" w:ascii="宋体" w:hAnsi="宋体"/>
          <w:sz w:val="24"/>
        </w:rPr>
        <w:t>综合得分=技术得分+商务得分+价格得分。</w:t>
      </w:r>
    </w:p>
    <w:p>
      <w:pPr>
        <w:pStyle w:val="101"/>
        <w:widowControl/>
        <w:numPr>
          <w:ilvl w:val="0"/>
          <w:numId w:val="30"/>
        </w:numPr>
        <w:adjustRightInd w:val="0"/>
        <w:snapToGrid w:val="0"/>
        <w:spacing w:line="360" w:lineRule="auto"/>
        <w:ind w:left="426" w:hanging="426" w:firstLineChars="0"/>
        <w:jc w:val="left"/>
        <w:rPr>
          <w:rFonts w:hAnsi="宋体"/>
          <w:sz w:val="24"/>
        </w:rPr>
      </w:pPr>
      <w:r>
        <w:rPr>
          <w:rFonts w:hint="eastAsia" w:hAnsi="宋体"/>
          <w:sz w:val="24"/>
        </w:rPr>
        <w:t>最低评标价法</w:t>
      </w:r>
    </w:p>
    <w:p>
      <w:pPr>
        <w:pStyle w:val="101"/>
        <w:widowControl/>
        <w:numPr>
          <w:ilvl w:val="1"/>
          <w:numId w:val="30"/>
        </w:numPr>
        <w:tabs>
          <w:tab w:val="left" w:pos="709"/>
        </w:tabs>
        <w:adjustRightInd w:val="0"/>
        <w:snapToGrid w:val="0"/>
        <w:spacing w:line="360" w:lineRule="auto"/>
        <w:ind w:left="426" w:hanging="283" w:firstLineChars="0"/>
        <w:jc w:val="left"/>
        <w:rPr>
          <w:rFonts w:ascii="宋体" w:hAnsi="宋体"/>
          <w:bCs/>
          <w:sz w:val="24"/>
        </w:rPr>
      </w:pPr>
      <w:r>
        <w:rPr>
          <w:rFonts w:hint="eastAsia" w:ascii="宋体" w:hAnsi="宋体"/>
          <w:bCs/>
          <w:sz w:val="24"/>
        </w:rPr>
        <w:t>最低评标价法，是指投标文件满足招标文件全部实质性要求，且投标报价最低的投标人为中标候选人的评标方法。</w:t>
      </w:r>
    </w:p>
    <w:p>
      <w:pPr>
        <w:pStyle w:val="101"/>
        <w:widowControl/>
        <w:numPr>
          <w:ilvl w:val="1"/>
          <w:numId w:val="30"/>
        </w:numPr>
        <w:tabs>
          <w:tab w:val="left" w:pos="709"/>
        </w:tabs>
        <w:adjustRightInd w:val="0"/>
        <w:snapToGrid w:val="0"/>
        <w:spacing w:line="360" w:lineRule="auto"/>
        <w:ind w:left="426" w:hanging="283" w:firstLineChars="0"/>
        <w:jc w:val="left"/>
        <w:rPr>
          <w:rFonts w:ascii="宋体" w:hAnsi="宋体"/>
          <w:bCs/>
          <w:sz w:val="24"/>
        </w:rPr>
      </w:pPr>
      <w:r>
        <w:rPr>
          <w:rFonts w:hint="eastAsia" w:ascii="宋体" w:hAnsi="宋体"/>
          <w:bCs/>
          <w:sz w:val="24"/>
        </w:rPr>
        <w:t>评标步骤：</w:t>
      </w:r>
    </w:p>
    <w:p>
      <w:pPr>
        <w:pStyle w:val="101"/>
        <w:widowControl/>
        <w:numPr>
          <w:ilvl w:val="0"/>
          <w:numId w:val="33"/>
        </w:numPr>
        <w:adjustRightInd w:val="0"/>
        <w:snapToGrid w:val="0"/>
        <w:spacing w:line="360" w:lineRule="auto"/>
        <w:ind w:left="851" w:hanging="425" w:firstLineChars="0"/>
        <w:jc w:val="left"/>
        <w:rPr>
          <w:rFonts w:ascii="宋体" w:hAnsi="宋体" w:cs="宋体"/>
          <w:sz w:val="24"/>
        </w:rPr>
      </w:pPr>
      <w:r>
        <w:rPr>
          <w:rFonts w:hint="eastAsia" w:ascii="宋体" w:hAnsi="宋体" w:cs="宋体"/>
          <w:sz w:val="24"/>
        </w:rPr>
        <w:t>资格性审查：开标结束后，代理机构应当依法对投标人的资格进行审查，详见《资格性审查表》。未通过资格性审查的投标人，不进入符合性审查。</w:t>
      </w:r>
    </w:p>
    <w:p>
      <w:pPr>
        <w:pStyle w:val="101"/>
        <w:widowControl/>
        <w:numPr>
          <w:ilvl w:val="0"/>
          <w:numId w:val="33"/>
        </w:numPr>
        <w:adjustRightInd w:val="0"/>
        <w:snapToGrid w:val="0"/>
        <w:spacing w:line="360" w:lineRule="auto"/>
        <w:ind w:left="851" w:hanging="425" w:firstLineChars="0"/>
        <w:jc w:val="left"/>
        <w:rPr>
          <w:rFonts w:ascii="宋体" w:hAnsi="宋体" w:cs="宋体"/>
          <w:sz w:val="24"/>
        </w:rPr>
      </w:pPr>
      <w:r>
        <w:rPr>
          <w:rFonts w:hint="eastAsia" w:ascii="宋体" w:hAnsi="宋体" w:cs="宋体"/>
          <w:sz w:val="24"/>
        </w:rPr>
        <w:t>符合性审查：评标委员会应当对通过资格性审查的投标人的投标文件进行符合性审查，详见《符合性审查表》，以确定其是否满足招标文件的实质性要求。未通过符合性审查的投标人，不进入价格评审。</w:t>
      </w:r>
    </w:p>
    <w:p>
      <w:pPr>
        <w:pStyle w:val="101"/>
        <w:widowControl/>
        <w:numPr>
          <w:ilvl w:val="0"/>
          <w:numId w:val="30"/>
        </w:numPr>
        <w:adjustRightInd w:val="0"/>
        <w:snapToGrid w:val="0"/>
        <w:spacing w:line="360" w:lineRule="auto"/>
        <w:ind w:left="426" w:hanging="426" w:firstLineChars="0"/>
        <w:jc w:val="left"/>
        <w:rPr>
          <w:rFonts w:hAnsi="宋体"/>
          <w:sz w:val="24"/>
        </w:rPr>
      </w:pPr>
      <w:r>
        <w:rPr>
          <w:rFonts w:hint="eastAsia" w:ascii="宋体" w:hAnsi="宋体" w:cs="宋体"/>
          <w:sz w:val="24"/>
        </w:rPr>
        <w:t>除非</w:t>
      </w:r>
      <w:r>
        <w:rPr>
          <w:rFonts w:hint="eastAsia" w:ascii="宋体" w:hAnsi="宋体" w:cs="黑体"/>
          <w:b/>
          <w:sz w:val="24"/>
        </w:rPr>
        <w:t>投标人须知前附表</w:t>
      </w:r>
      <w:r>
        <w:rPr>
          <w:rFonts w:hint="eastAsia" w:ascii="宋体" w:hAnsi="宋体" w:cs="宋体"/>
          <w:sz w:val="24"/>
        </w:rPr>
        <w:t>中另有规定，</w:t>
      </w:r>
      <w:r>
        <w:rPr>
          <w:rFonts w:hint="eastAsia" w:hAnsi="宋体"/>
          <w:sz w:val="24"/>
        </w:rPr>
        <w:t>投标文件报价出现前后不一致的，按照下列规定修正：</w:t>
      </w:r>
    </w:p>
    <w:p>
      <w:pPr>
        <w:pStyle w:val="101"/>
        <w:widowControl/>
        <w:numPr>
          <w:ilvl w:val="1"/>
          <w:numId w:val="30"/>
        </w:numPr>
        <w:tabs>
          <w:tab w:val="left" w:pos="709"/>
        </w:tabs>
        <w:adjustRightInd w:val="0"/>
        <w:snapToGrid w:val="0"/>
        <w:spacing w:line="360" w:lineRule="auto"/>
        <w:ind w:left="426" w:hanging="283" w:firstLineChars="0"/>
        <w:jc w:val="left"/>
        <w:rPr>
          <w:rFonts w:ascii="宋体" w:hAnsi="宋体"/>
          <w:bCs/>
          <w:sz w:val="24"/>
        </w:rPr>
      </w:pPr>
      <w:r>
        <w:rPr>
          <w:rFonts w:hint="eastAsia" w:ascii="宋体" w:hAnsi="宋体"/>
          <w:bCs/>
          <w:sz w:val="24"/>
        </w:rPr>
        <w:t>投标文件中开标一览表（报价表）内容与投标文件中相应内容不一致的，以开标一览表（报价表）为准；</w:t>
      </w:r>
    </w:p>
    <w:p>
      <w:pPr>
        <w:pStyle w:val="101"/>
        <w:widowControl/>
        <w:numPr>
          <w:ilvl w:val="1"/>
          <w:numId w:val="30"/>
        </w:numPr>
        <w:tabs>
          <w:tab w:val="left" w:pos="709"/>
        </w:tabs>
        <w:adjustRightInd w:val="0"/>
        <w:snapToGrid w:val="0"/>
        <w:spacing w:line="360" w:lineRule="auto"/>
        <w:ind w:left="426" w:hanging="283" w:firstLineChars="0"/>
        <w:jc w:val="left"/>
        <w:rPr>
          <w:rFonts w:ascii="宋体" w:hAnsi="宋体"/>
          <w:bCs/>
          <w:sz w:val="24"/>
        </w:rPr>
      </w:pPr>
      <w:r>
        <w:rPr>
          <w:rFonts w:hint="eastAsia" w:ascii="宋体" w:hAnsi="宋体"/>
          <w:bCs/>
          <w:sz w:val="24"/>
        </w:rPr>
        <w:t>投标报价与按投标下浮率计算得出的投标报价不一致的，以投标下浮率计算出来的投标报价为准；</w:t>
      </w:r>
    </w:p>
    <w:p>
      <w:pPr>
        <w:pStyle w:val="101"/>
        <w:widowControl/>
        <w:numPr>
          <w:ilvl w:val="1"/>
          <w:numId w:val="30"/>
        </w:numPr>
        <w:tabs>
          <w:tab w:val="left" w:pos="709"/>
        </w:tabs>
        <w:adjustRightInd w:val="0"/>
        <w:snapToGrid w:val="0"/>
        <w:spacing w:line="360" w:lineRule="auto"/>
        <w:ind w:left="426" w:hanging="283" w:firstLineChars="0"/>
        <w:jc w:val="left"/>
        <w:rPr>
          <w:rFonts w:ascii="宋体" w:hAnsi="宋体"/>
          <w:bCs/>
          <w:sz w:val="24"/>
        </w:rPr>
      </w:pPr>
      <w:r>
        <w:rPr>
          <w:rFonts w:hint="eastAsia" w:ascii="宋体" w:hAnsi="宋体"/>
          <w:bCs/>
          <w:sz w:val="24"/>
        </w:rPr>
        <w:t>大写金额和小写金额不一致的，以大写金额为准；</w:t>
      </w:r>
    </w:p>
    <w:p>
      <w:pPr>
        <w:pStyle w:val="101"/>
        <w:widowControl/>
        <w:numPr>
          <w:ilvl w:val="1"/>
          <w:numId w:val="30"/>
        </w:numPr>
        <w:tabs>
          <w:tab w:val="left" w:pos="709"/>
        </w:tabs>
        <w:adjustRightInd w:val="0"/>
        <w:snapToGrid w:val="0"/>
        <w:spacing w:line="360" w:lineRule="auto"/>
        <w:ind w:left="426" w:hanging="283" w:firstLineChars="0"/>
        <w:jc w:val="left"/>
        <w:rPr>
          <w:rFonts w:ascii="宋体" w:hAnsi="宋体"/>
          <w:bCs/>
          <w:sz w:val="24"/>
        </w:rPr>
      </w:pPr>
      <w:r>
        <w:rPr>
          <w:rFonts w:hint="eastAsia" w:ascii="宋体" w:hAnsi="宋体"/>
          <w:bCs/>
          <w:sz w:val="24"/>
        </w:rPr>
        <w:t>单价金额小数点或者百分比有明显错位的，以开标一览表的总价为准，并修改单价；</w:t>
      </w:r>
    </w:p>
    <w:p>
      <w:pPr>
        <w:pStyle w:val="101"/>
        <w:widowControl/>
        <w:numPr>
          <w:ilvl w:val="1"/>
          <w:numId w:val="30"/>
        </w:numPr>
        <w:tabs>
          <w:tab w:val="left" w:pos="709"/>
        </w:tabs>
        <w:adjustRightInd w:val="0"/>
        <w:snapToGrid w:val="0"/>
        <w:spacing w:line="360" w:lineRule="auto"/>
        <w:ind w:left="426" w:hanging="283" w:firstLineChars="0"/>
        <w:jc w:val="left"/>
        <w:rPr>
          <w:rFonts w:ascii="宋体" w:hAnsi="宋体"/>
          <w:bCs/>
          <w:sz w:val="24"/>
        </w:rPr>
      </w:pPr>
      <w:r>
        <w:rPr>
          <w:rFonts w:hint="eastAsia" w:ascii="宋体" w:hAnsi="宋体"/>
          <w:bCs/>
          <w:sz w:val="24"/>
        </w:rPr>
        <w:t>总价金额与按单价汇总金额不一致的，以单价金额计算结果为准。</w:t>
      </w:r>
    </w:p>
    <w:p>
      <w:pPr>
        <w:widowControl/>
        <w:adjustRightInd w:val="0"/>
        <w:snapToGrid w:val="0"/>
        <w:spacing w:line="360" w:lineRule="auto"/>
        <w:ind w:firstLine="600" w:firstLineChars="250"/>
        <w:jc w:val="left"/>
        <w:rPr>
          <w:rFonts w:ascii="宋体" w:hAnsi="宋体" w:cs="宋体"/>
          <w:b/>
          <w:sz w:val="24"/>
        </w:rPr>
      </w:pPr>
      <w:r>
        <w:rPr>
          <w:rFonts w:hint="eastAsia" w:ascii="宋体" w:hAnsi="宋体" w:cs="宋体"/>
          <w:sz w:val="24"/>
        </w:rPr>
        <w:t>同时出现两种以上不一致的，按照前款规定的顺序修正。修正后的报价按照本章“</w:t>
      </w:r>
      <w:r>
        <w:rPr>
          <w:rFonts w:hint="eastAsia" w:ascii="宋体" w:hAnsi="宋体" w:cs="宋体"/>
          <w:b/>
          <w:sz w:val="24"/>
        </w:rPr>
        <w:t>评标委员会组成及职责”</w:t>
      </w:r>
      <w:r>
        <w:rPr>
          <w:rFonts w:hint="eastAsia" w:ascii="宋体" w:hAnsi="宋体" w:cs="宋体"/>
          <w:sz w:val="24"/>
        </w:rPr>
        <w:t>第（6）点的规定经投标人确认后产生约束力，投标人不确认的，其</w:t>
      </w:r>
      <w:r>
        <w:rPr>
          <w:rFonts w:hint="eastAsia" w:ascii="宋体" w:hAnsi="宋体" w:cs="宋体"/>
          <w:b/>
          <w:sz w:val="24"/>
        </w:rPr>
        <w:t>投标无效。</w:t>
      </w:r>
    </w:p>
    <w:p>
      <w:pPr>
        <w:pStyle w:val="101"/>
        <w:widowControl/>
        <w:numPr>
          <w:ilvl w:val="0"/>
          <w:numId w:val="30"/>
        </w:numPr>
        <w:adjustRightInd w:val="0"/>
        <w:snapToGrid w:val="0"/>
        <w:spacing w:line="360" w:lineRule="auto"/>
        <w:ind w:left="709" w:hanging="709" w:firstLineChars="0"/>
        <w:jc w:val="left"/>
        <w:rPr>
          <w:rFonts w:hAnsi="宋体"/>
          <w:sz w:val="24"/>
        </w:rPr>
      </w:pPr>
      <w:r>
        <w:rPr>
          <w:rFonts w:hint="eastAsia" w:hAnsi="宋体"/>
          <w:sz w:val="24"/>
        </w:rPr>
        <w:t>价格评审：按招标文件约定的价格扣除方式及价格部分评分标准对价格进行评审。</w:t>
      </w:r>
    </w:p>
    <w:p>
      <w:pPr>
        <w:pStyle w:val="101"/>
        <w:widowControl/>
        <w:numPr>
          <w:ilvl w:val="0"/>
          <w:numId w:val="30"/>
        </w:numPr>
        <w:adjustRightInd w:val="0"/>
        <w:snapToGrid w:val="0"/>
        <w:spacing w:line="360" w:lineRule="auto"/>
        <w:ind w:left="709" w:hanging="709" w:firstLineChars="0"/>
        <w:jc w:val="left"/>
        <w:rPr>
          <w:rFonts w:hAnsi="宋体"/>
          <w:sz w:val="24"/>
        </w:rPr>
      </w:pPr>
      <w:r>
        <w:rPr>
          <w:rFonts w:hint="eastAsia" w:hAnsi="宋体"/>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01"/>
        <w:widowControl/>
        <w:numPr>
          <w:ilvl w:val="0"/>
          <w:numId w:val="30"/>
        </w:numPr>
        <w:adjustRightInd w:val="0"/>
        <w:snapToGrid w:val="0"/>
        <w:spacing w:line="360" w:lineRule="auto"/>
        <w:ind w:left="709" w:hanging="709" w:firstLineChars="0"/>
        <w:jc w:val="left"/>
        <w:rPr>
          <w:rFonts w:hAnsi="宋体"/>
          <w:sz w:val="24"/>
        </w:rPr>
      </w:pPr>
      <w:r>
        <w:rPr>
          <w:rFonts w:hint="eastAsia" w:hAnsi="宋体"/>
          <w:sz w:val="24"/>
        </w:rPr>
        <w:t>评标委员会成员对需要共同认定的事项存在争议的，应当按照少数服从多数的原则作出结论。持不同意见的评标委员会成员应当在评标报告上签署不同意见及理由，否则视为同意评标报告。</w:t>
      </w:r>
    </w:p>
    <w:p>
      <w:pPr>
        <w:numPr>
          <w:ilvl w:val="0"/>
          <w:numId w:val="24"/>
        </w:numPr>
        <w:autoSpaceDE w:val="0"/>
        <w:autoSpaceDN w:val="0"/>
        <w:adjustRightInd w:val="0"/>
        <w:snapToGrid w:val="0"/>
        <w:spacing w:line="360" w:lineRule="auto"/>
        <w:ind w:left="487" w:hanging="487" w:hangingChars="202"/>
        <w:outlineLvl w:val="3"/>
        <w:rPr>
          <w:rFonts w:hAnsi="宋体"/>
          <w:b/>
          <w:sz w:val="24"/>
        </w:rPr>
      </w:pPr>
      <w:r>
        <w:rPr>
          <w:rFonts w:hint="eastAsia" w:hAnsi="宋体"/>
          <w:b/>
          <w:sz w:val="24"/>
        </w:rPr>
        <w:t>推荐中标候选人</w:t>
      </w:r>
    </w:p>
    <w:p>
      <w:pPr>
        <w:pStyle w:val="101"/>
        <w:widowControl/>
        <w:numPr>
          <w:ilvl w:val="0"/>
          <w:numId w:val="34"/>
        </w:numPr>
        <w:spacing w:line="360" w:lineRule="auto"/>
        <w:ind w:left="426" w:hanging="426" w:firstLineChars="0"/>
        <w:jc w:val="left"/>
        <w:rPr>
          <w:rFonts w:ascii="宋体" w:hAnsi="宋体" w:cs="宋体"/>
          <w:sz w:val="24"/>
          <w:lang w:eastAsia="zh-TW"/>
        </w:rPr>
      </w:pPr>
      <w:r>
        <w:rPr>
          <w:rFonts w:hint="eastAsia" w:hAnsi="宋体"/>
          <w:b/>
          <w:sz w:val="24"/>
        </w:rPr>
        <w:t>综合评分法</w:t>
      </w:r>
    </w:p>
    <w:p>
      <w:pPr>
        <w:pStyle w:val="101"/>
        <w:widowControl/>
        <w:numPr>
          <w:ilvl w:val="1"/>
          <w:numId w:val="34"/>
        </w:numPr>
        <w:spacing w:line="360" w:lineRule="auto"/>
        <w:ind w:left="567" w:hanging="567" w:firstLineChars="0"/>
        <w:jc w:val="left"/>
        <w:rPr>
          <w:rFonts w:ascii="宋体" w:hAnsi="宋体" w:cs="宋体"/>
          <w:sz w:val="24"/>
        </w:rPr>
      </w:pPr>
      <w:r>
        <w:rPr>
          <w:rFonts w:hint="eastAsia" w:ascii="宋体" w:hAnsi="宋体"/>
          <w:sz w:val="24"/>
        </w:rPr>
        <w:t>采用综合评分法的，评标委员会对满足招标文件全部实质性要求的投标文件进行评审，评标结果按评审后得分由高到低顺序排列。总得分相同的，按投标报价由低到高顺序排列后确认中标候选人，总得分且投标报价相同的，按商务部分得分高的排前确认中标候选人，如仍存在相同情况，则按中标候选人数量规定，由评标委员会采用记名投票的方式，确认中标候选人的排序。</w:t>
      </w:r>
    </w:p>
    <w:p>
      <w:pPr>
        <w:pStyle w:val="101"/>
        <w:widowControl/>
        <w:numPr>
          <w:ilvl w:val="0"/>
          <w:numId w:val="34"/>
        </w:numPr>
        <w:adjustRightInd w:val="0"/>
        <w:snapToGrid w:val="0"/>
        <w:spacing w:line="360" w:lineRule="auto"/>
        <w:ind w:left="426" w:hanging="426" w:firstLineChars="0"/>
        <w:jc w:val="left"/>
        <w:rPr>
          <w:rFonts w:ascii="宋体" w:hAnsi="宋体"/>
          <w:b/>
          <w:strike w:val="0"/>
          <w:dstrike w:val="0"/>
          <w:sz w:val="24"/>
        </w:rPr>
      </w:pPr>
      <w:r>
        <w:rPr>
          <w:rFonts w:hint="eastAsia" w:ascii="宋体" w:hAnsi="宋体"/>
          <w:b/>
          <w:strike w:val="0"/>
          <w:dstrike w:val="0"/>
          <w:sz w:val="24"/>
        </w:rPr>
        <w:t>最低评标价法（本项目不适用。）</w:t>
      </w:r>
    </w:p>
    <w:p>
      <w:pPr>
        <w:pStyle w:val="101"/>
        <w:widowControl/>
        <w:numPr>
          <w:ilvl w:val="1"/>
          <w:numId w:val="34"/>
        </w:numPr>
        <w:adjustRightInd w:val="0"/>
        <w:snapToGrid w:val="0"/>
        <w:spacing w:line="360" w:lineRule="auto"/>
        <w:ind w:left="567" w:hanging="567" w:firstLineChars="0"/>
        <w:jc w:val="left"/>
        <w:rPr>
          <w:rFonts w:ascii="宋体" w:hAnsi="宋体" w:cs="宋体"/>
          <w:strike/>
          <w:dstrike w:val="0"/>
          <w:sz w:val="24"/>
        </w:rPr>
      </w:pPr>
      <w:r>
        <w:rPr>
          <w:rFonts w:hint="eastAsia" w:ascii="宋体" w:hAnsi="宋体" w:cs="宋体"/>
          <w:strike/>
          <w:dstrike w:val="0"/>
          <w:sz w:val="24"/>
        </w:rPr>
        <w:t>采用最低评标价法的采购项目，单一产品采购</w:t>
      </w:r>
      <w:r>
        <w:rPr>
          <w:rFonts w:hint="eastAsia" w:ascii="宋体" w:hAnsi="宋体"/>
          <w:strike/>
          <w:dstrike w:val="0"/>
          <w:sz w:val="24"/>
        </w:rPr>
        <w:t>项目</w:t>
      </w:r>
      <w:r>
        <w:rPr>
          <w:rFonts w:hint="eastAsia" w:ascii="宋体" w:hAnsi="宋体" w:cs="宋体"/>
          <w:strike/>
          <w:dstrike w:val="0"/>
          <w:sz w:val="24"/>
        </w:rPr>
        <w:t>提供相同品牌产品的不同投标人参加同一合同项下投标的或</w:t>
      </w:r>
      <w:r>
        <w:rPr>
          <w:rFonts w:hint="eastAsia" w:ascii="宋体" w:hAnsi="宋体"/>
          <w:strike/>
          <w:dstrike w:val="0"/>
          <w:sz w:val="24"/>
        </w:rPr>
        <w:t>非单一产品采购项目多家投标人提供的核心产品品牌相同的</w:t>
      </w:r>
      <w:r>
        <w:rPr>
          <w:rFonts w:hint="eastAsia" w:ascii="宋体" w:hAnsi="宋体" w:cs="宋体"/>
          <w:strike/>
          <w:dstrike w:val="0"/>
          <w:sz w:val="24"/>
        </w:rPr>
        <w:t>，以其中通过资格审查、符合性审查且报价最低的参加评标；报价相同的，由评标委员会采取随机抽取方式确定，</w:t>
      </w:r>
      <w:r>
        <w:rPr>
          <w:rFonts w:hint="eastAsia" w:ascii="宋体" w:hAnsi="宋体" w:cs="宋体"/>
          <w:b/>
          <w:strike/>
          <w:dstrike w:val="0"/>
          <w:sz w:val="24"/>
        </w:rPr>
        <w:t>其他投标无效</w:t>
      </w:r>
      <w:r>
        <w:rPr>
          <w:rFonts w:hint="eastAsia" w:ascii="宋体" w:hAnsi="宋体" w:cs="宋体"/>
          <w:strike/>
          <w:dstrike w:val="0"/>
          <w:sz w:val="24"/>
        </w:rPr>
        <w:t>。</w:t>
      </w:r>
    </w:p>
    <w:p>
      <w:pPr>
        <w:pStyle w:val="101"/>
        <w:widowControl/>
        <w:numPr>
          <w:ilvl w:val="1"/>
          <w:numId w:val="34"/>
        </w:numPr>
        <w:adjustRightInd w:val="0"/>
        <w:snapToGrid w:val="0"/>
        <w:spacing w:line="360" w:lineRule="auto"/>
        <w:ind w:left="567" w:hanging="567" w:firstLineChars="0"/>
        <w:jc w:val="left"/>
        <w:rPr>
          <w:rFonts w:ascii="宋体" w:hAnsi="宋体" w:cs="宋体"/>
          <w:strike/>
          <w:dstrike w:val="0"/>
          <w:sz w:val="24"/>
        </w:rPr>
      </w:pPr>
      <w:r>
        <w:rPr>
          <w:rFonts w:hint="eastAsia" w:ascii="宋体" w:hAnsi="宋体"/>
          <w:strike/>
          <w:dstrike w:val="0"/>
          <w:sz w:val="24"/>
        </w:rPr>
        <w:t>采用最低评标价法的，评标结果按投标报价由低到高顺序排列。投标报价相同的并列。投标文件满足招标文件全部实质性要求且投标报价最低的投标人为排名第一的中标候选人。</w:t>
      </w:r>
    </w:p>
    <w:p>
      <w:pPr>
        <w:pStyle w:val="101"/>
        <w:widowControl/>
        <w:numPr>
          <w:ilvl w:val="0"/>
          <w:numId w:val="34"/>
        </w:numPr>
        <w:adjustRightInd w:val="0"/>
        <w:snapToGrid w:val="0"/>
        <w:spacing w:line="360" w:lineRule="auto"/>
        <w:ind w:left="426" w:hanging="426" w:firstLineChars="0"/>
        <w:jc w:val="left"/>
        <w:rPr>
          <w:rFonts w:ascii="宋体" w:hAnsi="宋体"/>
          <w:sz w:val="24"/>
        </w:rPr>
      </w:pPr>
      <w:r>
        <w:rPr>
          <w:rFonts w:hint="eastAsia" w:ascii="宋体" w:hAnsi="宋体"/>
          <w:sz w:val="24"/>
        </w:rPr>
        <w:t>本项目按照</w:t>
      </w:r>
      <w:r>
        <w:rPr>
          <w:rFonts w:hint="eastAsia" w:ascii="宋体" w:hAnsi="宋体"/>
          <w:b/>
          <w:sz w:val="24"/>
        </w:rPr>
        <w:t>投标人须知前附表</w:t>
      </w:r>
      <w:r>
        <w:rPr>
          <w:rFonts w:hint="eastAsia" w:ascii="宋体" w:hAnsi="宋体"/>
          <w:sz w:val="24"/>
        </w:rPr>
        <w:t>规定的方式推荐中标候选人。</w:t>
      </w:r>
    </w:p>
    <w:p>
      <w:pPr>
        <w:numPr>
          <w:ilvl w:val="0"/>
          <w:numId w:val="24"/>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确定中标人</w:t>
      </w:r>
    </w:p>
    <w:p>
      <w:pPr>
        <w:pStyle w:val="101"/>
        <w:widowControl/>
        <w:numPr>
          <w:ilvl w:val="0"/>
          <w:numId w:val="35"/>
        </w:numPr>
        <w:adjustRightInd w:val="0"/>
        <w:snapToGrid w:val="0"/>
        <w:spacing w:line="360" w:lineRule="auto"/>
        <w:ind w:left="426" w:hanging="426" w:firstLineChars="0"/>
        <w:jc w:val="left"/>
        <w:rPr>
          <w:rFonts w:ascii="宋体" w:hAnsi="宋体"/>
          <w:strike/>
          <w:sz w:val="24"/>
        </w:rPr>
      </w:pPr>
      <w:r>
        <w:rPr>
          <w:rFonts w:hint="eastAsia" w:ascii="宋体" w:hAnsi="宋体"/>
          <w:sz w:val="24"/>
        </w:rPr>
        <w:t>采购人按</w:t>
      </w:r>
      <w:r>
        <w:rPr>
          <w:rFonts w:hint="eastAsia" w:ascii="宋体" w:hAnsi="宋体"/>
          <w:b/>
          <w:sz w:val="24"/>
        </w:rPr>
        <w:t>投标人须知前附表</w:t>
      </w:r>
      <w:r>
        <w:rPr>
          <w:rFonts w:hint="eastAsia" w:ascii="宋体" w:hAnsi="宋体"/>
          <w:sz w:val="24"/>
        </w:rPr>
        <w:t>规定确定中标人。</w:t>
      </w:r>
    </w:p>
    <w:p>
      <w:pPr>
        <w:pStyle w:val="101"/>
        <w:widowControl/>
        <w:numPr>
          <w:ilvl w:val="0"/>
          <w:numId w:val="35"/>
        </w:numPr>
        <w:adjustRightInd w:val="0"/>
        <w:snapToGrid w:val="0"/>
        <w:spacing w:line="360" w:lineRule="auto"/>
        <w:ind w:left="426" w:hanging="426" w:firstLineChars="0"/>
        <w:jc w:val="left"/>
        <w:rPr>
          <w:rFonts w:ascii="宋体" w:hAnsi="宋体"/>
          <w:sz w:val="24"/>
        </w:rPr>
      </w:pPr>
      <w:r>
        <w:rPr>
          <w:rFonts w:hint="eastAsia" w:ascii="宋体" w:hAnsi="宋体"/>
          <w:sz w:val="24"/>
        </w:rPr>
        <w:t>采购代理机构</w:t>
      </w:r>
      <w:r>
        <w:rPr>
          <w:rFonts w:ascii="宋体" w:hAnsi="宋体"/>
          <w:sz w:val="24"/>
        </w:rPr>
        <w:t>提</w:t>
      </w:r>
      <w:r>
        <w:rPr>
          <w:rFonts w:hint="eastAsia" w:ascii="宋体" w:hAnsi="宋体"/>
          <w:sz w:val="24"/>
        </w:rPr>
        <w:t>交</w:t>
      </w:r>
      <w:r>
        <w:rPr>
          <w:rFonts w:ascii="宋体" w:hAnsi="宋体"/>
          <w:sz w:val="24"/>
        </w:rPr>
        <w:t>评</w:t>
      </w:r>
      <w:r>
        <w:rPr>
          <w:rFonts w:hint="eastAsia" w:ascii="宋体" w:hAnsi="宋体"/>
          <w:sz w:val="24"/>
        </w:rPr>
        <w:t>标</w:t>
      </w:r>
      <w:r>
        <w:rPr>
          <w:rFonts w:ascii="宋体" w:hAnsi="宋体"/>
          <w:sz w:val="24"/>
        </w:rPr>
        <w:t>报告报</w:t>
      </w:r>
      <w:r>
        <w:rPr>
          <w:rFonts w:hint="eastAsia" w:ascii="宋体" w:hAnsi="宋体"/>
          <w:sz w:val="24"/>
        </w:rPr>
        <w:t>采购</w:t>
      </w:r>
      <w:r>
        <w:rPr>
          <w:rFonts w:ascii="宋体" w:hAnsi="宋体"/>
          <w:sz w:val="24"/>
        </w:rPr>
        <w:t>人</w:t>
      </w:r>
      <w:r>
        <w:rPr>
          <w:rFonts w:hint="eastAsia" w:ascii="宋体" w:hAnsi="宋体"/>
          <w:sz w:val="24"/>
        </w:rPr>
        <w:t>确认，采购人在收到评标报告5个工作日内确定中标人，按照评标报告中确定的中标候选人顺序确定中标人，也可以事先授权评标委员会直接确定中标人。</w:t>
      </w:r>
    </w:p>
    <w:p>
      <w:pPr>
        <w:pStyle w:val="101"/>
        <w:widowControl/>
        <w:numPr>
          <w:ilvl w:val="0"/>
          <w:numId w:val="35"/>
        </w:numPr>
        <w:adjustRightInd w:val="0"/>
        <w:snapToGrid w:val="0"/>
        <w:spacing w:line="360" w:lineRule="auto"/>
        <w:ind w:left="426" w:hanging="426" w:firstLineChars="0"/>
        <w:jc w:val="left"/>
        <w:rPr>
          <w:rFonts w:ascii="宋体" w:hAnsi="宋体"/>
          <w:sz w:val="24"/>
        </w:rPr>
      </w:pPr>
      <w:r>
        <w:rPr>
          <w:rFonts w:hint="eastAsia" w:ascii="宋体" w:hAnsi="宋体"/>
          <w:sz w:val="24"/>
        </w:rPr>
        <w:t>中标人拒绝与采购人签订合同的，采购人可以按照评标报告推荐的中标候选人名单排序，确定下一候选人为中标人，也可以重新开展采购活动。</w:t>
      </w:r>
    </w:p>
    <w:p>
      <w:pPr>
        <w:numPr>
          <w:ilvl w:val="0"/>
          <w:numId w:val="24"/>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中标公告及中标通知书</w:t>
      </w:r>
    </w:p>
    <w:p>
      <w:pPr>
        <w:numPr>
          <w:ilvl w:val="1"/>
          <w:numId w:val="24"/>
        </w:numPr>
        <w:autoSpaceDE w:val="0"/>
        <w:autoSpaceDN w:val="0"/>
        <w:adjustRightInd w:val="0"/>
        <w:snapToGrid w:val="0"/>
        <w:spacing w:line="360" w:lineRule="auto"/>
        <w:rPr>
          <w:rFonts w:ascii="宋体" w:hAnsi="宋体" w:cs="黑体"/>
          <w:b/>
          <w:bCs/>
          <w:sz w:val="24"/>
        </w:rPr>
      </w:pPr>
      <w:r>
        <w:rPr>
          <w:rFonts w:hint="eastAsia" w:ascii="宋体" w:hAnsi="宋体" w:cs="宋体"/>
          <w:sz w:val="24"/>
        </w:rPr>
        <w:t>中标人确定后，采购代理机构将在发布采购信息公告的媒体上以公告的形式发布中标结果，中标公告的公告期限为1个工作日。中标公告同时作为采购代理机构通知除中标人外的其他投标人没有中标的书面形式，采购代理机构不再以其它方式另行通知。</w:t>
      </w:r>
    </w:p>
    <w:p>
      <w:pPr>
        <w:numPr>
          <w:ilvl w:val="1"/>
          <w:numId w:val="24"/>
        </w:numPr>
        <w:autoSpaceDE w:val="0"/>
        <w:autoSpaceDN w:val="0"/>
        <w:adjustRightInd w:val="0"/>
        <w:snapToGrid w:val="0"/>
        <w:spacing w:line="360" w:lineRule="auto"/>
        <w:rPr>
          <w:rFonts w:ascii="宋体" w:hAnsi="宋体" w:cs="黑体"/>
          <w:b/>
          <w:bCs/>
          <w:sz w:val="24"/>
        </w:rPr>
      </w:pPr>
      <w:r>
        <w:rPr>
          <w:rFonts w:hint="eastAsia" w:ascii="宋体" w:hAnsi="宋体"/>
          <w:sz w:val="24"/>
        </w:rPr>
        <w:t>《中标通知书》将作为授予合同资格的合法依据，是合同的一个组成部分。中标通知书发出后，采购人不得违法改变中标结果，中标人不得放弃中标。中标人放弃中标的，应当依法承担相应的法律责任。</w:t>
      </w:r>
    </w:p>
    <w:p>
      <w:pPr>
        <w:numPr>
          <w:ilvl w:val="0"/>
          <w:numId w:val="24"/>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采购代理服务费</w:t>
      </w:r>
    </w:p>
    <w:p>
      <w:pPr>
        <w:numPr>
          <w:ilvl w:val="1"/>
          <w:numId w:val="24"/>
        </w:numPr>
        <w:autoSpaceDE w:val="0"/>
        <w:autoSpaceDN w:val="0"/>
        <w:adjustRightInd w:val="0"/>
        <w:snapToGrid w:val="0"/>
        <w:spacing w:line="360" w:lineRule="auto"/>
        <w:rPr>
          <w:rFonts w:ascii="宋体" w:hAnsi="宋体" w:cs="黑体"/>
          <w:b/>
          <w:bCs/>
          <w:sz w:val="24"/>
        </w:rPr>
      </w:pPr>
      <w:r>
        <w:rPr>
          <w:rFonts w:hint="eastAsia" w:ascii="宋体" w:hAnsi="宋体" w:cs="宋体"/>
          <w:sz w:val="24"/>
        </w:rPr>
        <w:t>中标人应按照招标文件</w:t>
      </w:r>
      <w:r>
        <w:rPr>
          <w:rFonts w:hint="eastAsia" w:ascii="宋体" w:hAnsi="宋体" w:cs="宋体"/>
          <w:b/>
          <w:sz w:val="24"/>
        </w:rPr>
        <w:t>投标人须知前附表</w:t>
      </w:r>
      <w:r>
        <w:rPr>
          <w:rFonts w:hint="eastAsia" w:ascii="宋体" w:hAnsi="宋体" w:cs="宋体"/>
          <w:sz w:val="24"/>
        </w:rPr>
        <w:t>中的规定缴纳采购代理服务费。</w:t>
      </w:r>
    </w:p>
    <w:p>
      <w:pPr>
        <w:numPr>
          <w:ilvl w:val="1"/>
          <w:numId w:val="24"/>
        </w:numPr>
        <w:autoSpaceDE w:val="0"/>
        <w:autoSpaceDN w:val="0"/>
        <w:adjustRightInd w:val="0"/>
        <w:snapToGrid w:val="0"/>
        <w:spacing w:line="360" w:lineRule="auto"/>
        <w:rPr>
          <w:rFonts w:ascii="宋体" w:hAnsi="宋体" w:cs="宋体"/>
          <w:sz w:val="24"/>
        </w:rPr>
      </w:pPr>
      <w:r>
        <w:rPr>
          <w:rFonts w:hint="eastAsia" w:ascii="宋体" w:hAnsi="宋体" w:cs="宋体"/>
          <w:sz w:val="24"/>
        </w:rPr>
        <w:t>中标人经依法被认定中标无效的，采购代理服务费不予退还。</w:t>
      </w:r>
    </w:p>
    <w:p>
      <w:pPr>
        <w:numPr>
          <w:ilvl w:val="0"/>
          <w:numId w:val="24"/>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合同的订立</w:t>
      </w:r>
    </w:p>
    <w:p>
      <w:pPr>
        <w:numPr>
          <w:ilvl w:val="1"/>
          <w:numId w:val="24"/>
        </w:numPr>
        <w:autoSpaceDE w:val="0"/>
        <w:autoSpaceDN w:val="0"/>
        <w:adjustRightInd w:val="0"/>
        <w:snapToGrid w:val="0"/>
        <w:spacing w:line="360" w:lineRule="auto"/>
        <w:rPr>
          <w:rFonts w:ascii="宋体" w:hAnsi="宋体" w:cs="黑体"/>
          <w:b/>
          <w:bCs/>
          <w:sz w:val="24"/>
        </w:rPr>
      </w:pPr>
      <w:r>
        <w:rPr>
          <w:rFonts w:hint="eastAsia" w:ascii="宋体" w:hAnsi="宋体" w:cs="宋体"/>
          <w:sz w:val="24"/>
        </w:rPr>
        <w:t>采购人应当自中标通知书发出之日起三十日内，按照招标文件和中标人投标文件的约定，与中标人签订书面合同。所签订的合同不得对招标文件和中标人投标文件作实质性修改。</w:t>
      </w:r>
    </w:p>
    <w:p>
      <w:pPr>
        <w:numPr>
          <w:ilvl w:val="1"/>
          <w:numId w:val="24"/>
        </w:numPr>
        <w:autoSpaceDE w:val="0"/>
        <w:autoSpaceDN w:val="0"/>
        <w:adjustRightInd w:val="0"/>
        <w:snapToGrid w:val="0"/>
        <w:spacing w:line="360" w:lineRule="auto"/>
        <w:rPr>
          <w:rFonts w:ascii="宋体" w:hAnsi="宋体" w:cs="宋体"/>
          <w:sz w:val="24"/>
        </w:rPr>
      </w:pPr>
      <w:r>
        <w:rPr>
          <w:rFonts w:hint="eastAsia" w:ascii="宋体" w:hAnsi="宋体" w:cs="宋体"/>
          <w:sz w:val="24"/>
        </w:rPr>
        <w:t xml:space="preserve">采购人或者采购代理机构不得向中标人提出任何不合理的要求，作为签订合同的条件，不得与中标人私下订立背离合同实质性内容的协议。 </w:t>
      </w:r>
    </w:p>
    <w:p>
      <w:pPr>
        <w:numPr>
          <w:ilvl w:val="0"/>
          <w:numId w:val="24"/>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合同的履行</w:t>
      </w:r>
    </w:p>
    <w:p>
      <w:pPr>
        <w:numPr>
          <w:ilvl w:val="1"/>
          <w:numId w:val="24"/>
        </w:numPr>
        <w:autoSpaceDE w:val="0"/>
        <w:autoSpaceDN w:val="0"/>
        <w:adjustRightInd w:val="0"/>
        <w:snapToGrid w:val="0"/>
        <w:spacing w:line="360" w:lineRule="auto"/>
        <w:rPr>
          <w:rFonts w:ascii="宋体" w:hAnsi="宋体" w:cs="宋体"/>
          <w:sz w:val="24"/>
          <w:lang w:eastAsia="zh-TW"/>
        </w:rPr>
      </w:pPr>
      <w:r>
        <w:rPr>
          <w:rFonts w:hint="eastAsia" w:ascii="宋体" w:hAnsi="宋体" w:cs="宋体"/>
          <w:sz w:val="24"/>
        </w:rPr>
        <w:t>采购合同履行中，采购人需追加与合同标的相同的货物、工程或者服务的，在不改变合同其他条款的前提下，可以与投标人签订补充合同，但所补充合同的采购金额不得超过原合同采购金额的百分之十。</w:t>
      </w:r>
      <w:r>
        <w:rPr>
          <w:rFonts w:hint="eastAsia" w:ascii="宋体" w:hAnsi="宋体" w:cs="宋体"/>
          <w:sz w:val="24"/>
          <w:lang w:eastAsia="zh-TW"/>
        </w:rPr>
        <w:t>签订补充合同的必须按规定备案。</w:t>
      </w:r>
    </w:p>
    <w:p>
      <w:pPr>
        <w:numPr>
          <w:ilvl w:val="0"/>
          <w:numId w:val="24"/>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法律法规规定的其他属于投标无效的</w:t>
      </w:r>
    </w:p>
    <w:p>
      <w:pPr>
        <w:pStyle w:val="101"/>
        <w:widowControl/>
        <w:numPr>
          <w:ilvl w:val="1"/>
          <w:numId w:val="24"/>
        </w:numPr>
        <w:adjustRightInd w:val="0"/>
        <w:snapToGrid w:val="0"/>
        <w:spacing w:line="360" w:lineRule="auto"/>
        <w:ind w:firstLineChars="0"/>
        <w:jc w:val="left"/>
        <w:rPr>
          <w:rFonts w:ascii="宋体" w:hAnsi="宋体"/>
          <w:b/>
          <w:sz w:val="24"/>
        </w:rPr>
      </w:pPr>
      <w:r>
        <w:rPr>
          <w:rFonts w:hint="eastAsia" w:ascii="宋体" w:hAnsi="宋体"/>
          <w:b/>
          <w:sz w:val="24"/>
        </w:rPr>
        <w:t>有下列情形之一的，视为投标人串通投标，其投标无效：</w:t>
      </w:r>
    </w:p>
    <w:p>
      <w:pPr>
        <w:pStyle w:val="101"/>
        <w:widowControl/>
        <w:numPr>
          <w:ilvl w:val="2"/>
          <w:numId w:val="24"/>
        </w:numPr>
        <w:adjustRightInd w:val="0"/>
        <w:snapToGrid w:val="0"/>
        <w:spacing w:line="360" w:lineRule="auto"/>
        <w:ind w:firstLineChars="0"/>
        <w:jc w:val="left"/>
        <w:rPr>
          <w:rFonts w:ascii="宋体" w:hAnsi="宋体"/>
          <w:sz w:val="24"/>
        </w:rPr>
      </w:pPr>
      <w:r>
        <w:rPr>
          <w:rFonts w:hint="eastAsia" w:ascii="宋体" w:hAnsi="宋体"/>
          <w:sz w:val="24"/>
        </w:rPr>
        <w:t>不同投标人的投标文件由同一单位或者个人编制；</w:t>
      </w:r>
    </w:p>
    <w:p>
      <w:pPr>
        <w:pStyle w:val="101"/>
        <w:widowControl/>
        <w:numPr>
          <w:ilvl w:val="2"/>
          <w:numId w:val="24"/>
        </w:numPr>
        <w:adjustRightInd w:val="0"/>
        <w:snapToGrid w:val="0"/>
        <w:spacing w:line="360" w:lineRule="auto"/>
        <w:ind w:firstLineChars="0"/>
        <w:jc w:val="left"/>
        <w:rPr>
          <w:rFonts w:ascii="宋体" w:hAnsi="宋体"/>
          <w:sz w:val="24"/>
        </w:rPr>
      </w:pPr>
      <w:r>
        <w:rPr>
          <w:rFonts w:hint="eastAsia" w:ascii="宋体" w:hAnsi="宋体"/>
          <w:sz w:val="24"/>
        </w:rPr>
        <w:t>不同投标人委托同一单位或者个人办理投标事宜；</w:t>
      </w:r>
    </w:p>
    <w:p>
      <w:pPr>
        <w:pStyle w:val="101"/>
        <w:widowControl/>
        <w:numPr>
          <w:ilvl w:val="2"/>
          <w:numId w:val="24"/>
        </w:numPr>
        <w:adjustRightInd w:val="0"/>
        <w:snapToGrid w:val="0"/>
        <w:spacing w:line="360" w:lineRule="auto"/>
        <w:ind w:firstLineChars="0"/>
        <w:jc w:val="left"/>
        <w:rPr>
          <w:rFonts w:ascii="宋体" w:hAnsi="宋体"/>
          <w:sz w:val="24"/>
        </w:rPr>
      </w:pPr>
      <w:r>
        <w:rPr>
          <w:rFonts w:hint="eastAsia" w:ascii="宋体" w:hAnsi="宋体"/>
          <w:sz w:val="24"/>
        </w:rPr>
        <w:t>不同投标人的投标文件载明的项目管理成员或者联系人员为同一人；</w:t>
      </w:r>
    </w:p>
    <w:p>
      <w:pPr>
        <w:pStyle w:val="101"/>
        <w:widowControl/>
        <w:numPr>
          <w:ilvl w:val="2"/>
          <w:numId w:val="24"/>
        </w:numPr>
        <w:adjustRightInd w:val="0"/>
        <w:snapToGrid w:val="0"/>
        <w:spacing w:line="360" w:lineRule="auto"/>
        <w:ind w:firstLineChars="0"/>
        <w:jc w:val="left"/>
        <w:rPr>
          <w:rFonts w:ascii="宋体" w:hAnsi="宋体"/>
          <w:sz w:val="24"/>
        </w:rPr>
      </w:pPr>
      <w:r>
        <w:rPr>
          <w:rFonts w:hint="eastAsia" w:ascii="宋体" w:hAnsi="宋体"/>
          <w:sz w:val="24"/>
        </w:rPr>
        <w:t>不同投标人的投标文件异常一致或者投标报价呈规律性差异；</w:t>
      </w:r>
    </w:p>
    <w:p>
      <w:pPr>
        <w:pStyle w:val="101"/>
        <w:widowControl/>
        <w:numPr>
          <w:ilvl w:val="2"/>
          <w:numId w:val="24"/>
        </w:numPr>
        <w:adjustRightInd w:val="0"/>
        <w:snapToGrid w:val="0"/>
        <w:spacing w:line="360" w:lineRule="auto"/>
        <w:ind w:firstLineChars="0"/>
        <w:jc w:val="left"/>
        <w:rPr>
          <w:rFonts w:ascii="宋体" w:hAnsi="宋体"/>
          <w:sz w:val="24"/>
        </w:rPr>
      </w:pPr>
      <w:r>
        <w:rPr>
          <w:rFonts w:hint="eastAsia" w:ascii="宋体" w:hAnsi="宋体"/>
          <w:sz w:val="24"/>
        </w:rPr>
        <w:t>不同投标人的投标文件相互混装；</w:t>
      </w:r>
    </w:p>
    <w:p>
      <w:pPr>
        <w:pStyle w:val="101"/>
        <w:widowControl/>
        <w:numPr>
          <w:ilvl w:val="2"/>
          <w:numId w:val="24"/>
        </w:numPr>
        <w:adjustRightInd w:val="0"/>
        <w:snapToGrid w:val="0"/>
        <w:spacing w:line="360" w:lineRule="auto"/>
        <w:ind w:firstLineChars="0"/>
        <w:jc w:val="left"/>
        <w:rPr>
          <w:rFonts w:ascii="宋体" w:hAnsi="宋体"/>
          <w:sz w:val="24"/>
        </w:rPr>
      </w:pPr>
      <w:r>
        <w:rPr>
          <w:rFonts w:hint="eastAsia" w:ascii="宋体" w:hAnsi="宋体"/>
          <w:sz w:val="24"/>
        </w:rPr>
        <w:t>不同投标人的投标保证金从同一单位或者个人的账户转出。</w:t>
      </w:r>
    </w:p>
    <w:p>
      <w:pPr>
        <w:numPr>
          <w:ilvl w:val="0"/>
          <w:numId w:val="24"/>
        </w:numPr>
        <w:autoSpaceDE w:val="0"/>
        <w:autoSpaceDN w:val="0"/>
        <w:adjustRightInd w:val="0"/>
        <w:snapToGrid w:val="0"/>
        <w:spacing w:line="360" w:lineRule="auto"/>
        <w:ind w:left="487" w:hanging="487" w:hangingChars="202"/>
        <w:outlineLvl w:val="3"/>
        <w:rPr>
          <w:rFonts w:ascii="宋体" w:hAnsi="宋体"/>
          <w:b/>
          <w:bCs/>
          <w:sz w:val="24"/>
        </w:rPr>
      </w:pPr>
      <w:r>
        <w:rPr>
          <w:rFonts w:ascii="宋体" w:hAnsi="宋体"/>
          <w:b/>
          <w:bCs/>
          <w:sz w:val="24"/>
        </w:rPr>
        <w:t>废标</w:t>
      </w:r>
    </w:p>
    <w:p>
      <w:pPr>
        <w:pStyle w:val="101"/>
        <w:widowControl/>
        <w:numPr>
          <w:ilvl w:val="0"/>
          <w:numId w:val="36"/>
        </w:numPr>
        <w:tabs>
          <w:tab w:val="left" w:pos="567"/>
        </w:tabs>
        <w:adjustRightInd w:val="0"/>
        <w:snapToGrid w:val="0"/>
        <w:spacing w:line="360" w:lineRule="auto"/>
        <w:ind w:firstLineChars="0"/>
        <w:jc w:val="left"/>
        <w:rPr>
          <w:rFonts w:ascii="宋体" w:hAnsi="宋体"/>
          <w:sz w:val="24"/>
        </w:rPr>
      </w:pPr>
      <w:r>
        <w:rPr>
          <w:rFonts w:ascii="宋体" w:hAnsi="宋体"/>
          <w:sz w:val="24"/>
        </w:rPr>
        <w:t>在招标采购中，出现下列情形之一的，应予废标</w:t>
      </w:r>
      <w:r>
        <w:rPr>
          <w:rFonts w:hint="eastAsia" w:ascii="宋体" w:hAnsi="宋体"/>
          <w:sz w:val="24"/>
        </w:rPr>
        <w:t>：</w:t>
      </w:r>
    </w:p>
    <w:p>
      <w:pPr>
        <w:pStyle w:val="101"/>
        <w:widowControl/>
        <w:numPr>
          <w:ilvl w:val="3"/>
          <w:numId w:val="24"/>
        </w:numPr>
        <w:tabs>
          <w:tab w:val="left" w:pos="426"/>
          <w:tab w:val="clear" w:pos="851"/>
        </w:tabs>
        <w:adjustRightInd w:val="0"/>
        <w:snapToGrid w:val="0"/>
        <w:spacing w:line="360" w:lineRule="auto"/>
        <w:ind w:left="426" w:hanging="425" w:firstLineChars="0"/>
        <w:jc w:val="left"/>
        <w:rPr>
          <w:rFonts w:ascii="宋体" w:hAnsi="宋体"/>
          <w:sz w:val="24"/>
        </w:rPr>
      </w:pPr>
      <w:r>
        <w:rPr>
          <w:rFonts w:ascii="宋体" w:hAnsi="宋体"/>
          <w:sz w:val="24"/>
        </w:rPr>
        <w:t>符合专业条件的</w:t>
      </w:r>
      <w:r>
        <w:rPr>
          <w:rFonts w:hint="eastAsia" w:ascii="宋体" w:hAnsi="宋体"/>
          <w:sz w:val="24"/>
        </w:rPr>
        <w:t>投标人</w:t>
      </w:r>
      <w:r>
        <w:rPr>
          <w:rFonts w:ascii="宋体" w:hAnsi="宋体"/>
          <w:sz w:val="24"/>
        </w:rPr>
        <w:t>或者对</w:t>
      </w:r>
      <w:r>
        <w:rPr>
          <w:rFonts w:hint="eastAsia" w:ascii="宋体" w:hAnsi="宋体"/>
          <w:sz w:val="24"/>
        </w:rPr>
        <w:t>招标</w:t>
      </w:r>
      <w:r>
        <w:rPr>
          <w:rFonts w:ascii="宋体" w:hAnsi="宋体"/>
          <w:sz w:val="24"/>
        </w:rPr>
        <w:t>文件作实质响应的</w:t>
      </w:r>
      <w:r>
        <w:rPr>
          <w:rFonts w:hint="eastAsia" w:ascii="宋体" w:hAnsi="宋体"/>
          <w:sz w:val="24"/>
        </w:rPr>
        <w:t>投标人</w:t>
      </w:r>
      <w:r>
        <w:rPr>
          <w:rFonts w:ascii="宋体" w:hAnsi="宋体"/>
          <w:sz w:val="24"/>
        </w:rPr>
        <w:t>不足三家的；</w:t>
      </w:r>
    </w:p>
    <w:p>
      <w:pPr>
        <w:pStyle w:val="101"/>
        <w:widowControl/>
        <w:numPr>
          <w:ilvl w:val="3"/>
          <w:numId w:val="24"/>
        </w:numPr>
        <w:tabs>
          <w:tab w:val="left" w:pos="426"/>
          <w:tab w:val="clear" w:pos="851"/>
        </w:tabs>
        <w:adjustRightInd w:val="0"/>
        <w:snapToGrid w:val="0"/>
        <w:spacing w:line="360" w:lineRule="auto"/>
        <w:ind w:left="426" w:hanging="425" w:firstLineChars="0"/>
        <w:jc w:val="left"/>
        <w:rPr>
          <w:rFonts w:ascii="宋体" w:hAnsi="宋体"/>
          <w:sz w:val="24"/>
        </w:rPr>
      </w:pPr>
      <w:r>
        <w:rPr>
          <w:rFonts w:ascii="宋体" w:hAnsi="宋体"/>
          <w:sz w:val="24"/>
        </w:rPr>
        <w:t>出现影响采购公正的违法、违规行为的；</w:t>
      </w:r>
    </w:p>
    <w:p>
      <w:pPr>
        <w:pStyle w:val="101"/>
        <w:widowControl/>
        <w:numPr>
          <w:ilvl w:val="3"/>
          <w:numId w:val="24"/>
        </w:numPr>
        <w:tabs>
          <w:tab w:val="left" w:pos="426"/>
          <w:tab w:val="clear" w:pos="851"/>
        </w:tabs>
        <w:adjustRightInd w:val="0"/>
        <w:snapToGrid w:val="0"/>
        <w:spacing w:line="360" w:lineRule="auto"/>
        <w:ind w:left="426" w:hanging="425" w:firstLineChars="0"/>
        <w:jc w:val="left"/>
        <w:rPr>
          <w:rFonts w:ascii="宋体" w:hAnsi="宋体"/>
          <w:sz w:val="24"/>
        </w:rPr>
      </w:pPr>
      <w:r>
        <w:rPr>
          <w:rFonts w:ascii="宋体" w:hAnsi="宋体"/>
          <w:sz w:val="24"/>
        </w:rPr>
        <w:t>投标人的报价均超过了采购预算，采购人不能支付的；</w:t>
      </w:r>
    </w:p>
    <w:p>
      <w:pPr>
        <w:pStyle w:val="101"/>
        <w:widowControl/>
        <w:numPr>
          <w:ilvl w:val="3"/>
          <w:numId w:val="24"/>
        </w:numPr>
        <w:tabs>
          <w:tab w:val="left" w:pos="426"/>
          <w:tab w:val="clear" w:pos="851"/>
        </w:tabs>
        <w:adjustRightInd w:val="0"/>
        <w:snapToGrid w:val="0"/>
        <w:spacing w:line="360" w:lineRule="auto"/>
        <w:ind w:left="426" w:hanging="425" w:firstLineChars="0"/>
        <w:jc w:val="left"/>
        <w:rPr>
          <w:rFonts w:ascii="宋体" w:hAnsi="宋体"/>
          <w:sz w:val="24"/>
        </w:rPr>
      </w:pPr>
      <w:r>
        <w:rPr>
          <w:rFonts w:ascii="宋体" w:hAnsi="宋体"/>
          <w:sz w:val="24"/>
        </w:rPr>
        <w:t>因重大变故，采购任务取消的</w:t>
      </w:r>
      <w:r>
        <w:rPr>
          <w:rFonts w:hint="eastAsia" w:ascii="宋体" w:hAnsi="宋体"/>
          <w:sz w:val="24"/>
        </w:rPr>
        <w:t>。</w:t>
      </w:r>
    </w:p>
    <w:p>
      <w:pPr>
        <w:numPr>
          <w:ilvl w:val="0"/>
          <w:numId w:val="17"/>
        </w:numPr>
        <w:tabs>
          <w:tab w:val="left" w:pos="4395"/>
        </w:tabs>
        <w:autoSpaceDE w:val="0"/>
        <w:autoSpaceDN w:val="0"/>
        <w:adjustRightInd w:val="0"/>
        <w:snapToGrid w:val="0"/>
        <w:spacing w:before="156" w:beforeLines="50" w:line="360" w:lineRule="auto"/>
        <w:ind w:firstLine="562" w:firstLineChars="200"/>
        <w:jc w:val="center"/>
        <w:outlineLvl w:val="2"/>
        <w:rPr>
          <w:rFonts w:ascii="宋体" w:hAnsi="宋体"/>
          <w:b/>
          <w:sz w:val="28"/>
          <w:szCs w:val="28"/>
          <w:lang w:eastAsia="zh-TW"/>
        </w:rPr>
      </w:pPr>
      <w:bookmarkStart w:id="51" w:name="_Toc15653"/>
      <w:r>
        <w:rPr>
          <w:rFonts w:hint="eastAsia" w:ascii="宋体" w:hAnsi="宋体"/>
          <w:b/>
          <w:sz w:val="28"/>
          <w:szCs w:val="28"/>
          <w:lang w:eastAsia="zh-TW"/>
        </w:rPr>
        <w:t>询问、质疑与投诉</w:t>
      </w:r>
      <w:bookmarkEnd w:id="51"/>
    </w:p>
    <w:p>
      <w:pPr>
        <w:numPr>
          <w:ilvl w:val="0"/>
          <w:numId w:val="37"/>
        </w:numPr>
        <w:autoSpaceDE w:val="0"/>
        <w:autoSpaceDN w:val="0"/>
        <w:adjustRightInd w:val="0"/>
        <w:snapToGrid w:val="0"/>
        <w:spacing w:line="360" w:lineRule="auto"/>
        <w:outlineLvl w:val="3"/>
        <w:rPr>
          <w:rFonts w:ascii="宋体" w:hAnsi="宋体"/>
          <w:b/>
          <w:bCs/>
          <w:sz w:val="24"/>
        </w:rPr>
      </w:pPr>
      <w:r>
        <w:rPr>
          <w:rFonts w:hint="eastAsia" w:ascii="宋体" w:hAnsi="宋体"/>
          <w:b/>
          <w:bCs/>
          <w:sz w:val="24"/>
        </w:rPr>
        <w:t>询问</w:t>
      </w:r>
    </w:p>
    <w:p>
      <w:pPr>
        <w:numPr>
          <w:ilvl w:val="1"/>
          <w:numId w:val="37"/>
        </w:numPr>
        <w:autoSpaceDE w:val="0"/>
        <w:autoSpaceDN w:val="0"/>
        <w:adjustRightInd w:val="0"/>
        <w:snapToGrid w:val="0"/>
        <w:spacing w:line="360" w:lineRule="auto"/>
        <w:ind w:left="648" w:hanging="648" w:hangingChars="270"/>
        <w:rPr>
          <w:rFonts w:ascii="宋体" w:hAnsi="宋体" w:cs="黑体"/>
          <w:b/>
          <w:bCs/>
          <w:sz w:val="24"/>
        </w:rPr>
      </w:pPr>
      <w:r>
        <w:rPr>
          <w:rFonts w:hint="eastAsia" w:ascii="宋体" w:hAnsi="宋体" w:cs="黑体"/>
          <w:bCs/>
          <w:sz w:val="24"/>
        </w:rPr>
        <w:t>投标人对采购活动事项（招标文件、采购过程和中标结果）有疑问的，可以向</w:t>
      </w:r>
      <w:r>
        <w:rPr>
          <w:rFonts w:hint="eastAsia" w:ascii="宋体" w:hAnsi="宋体" w:cs="宋体"/>
          <w:sz w:val="24"/>
        </w:rPr>
        <w:t>采购人或者采购代理机构</w:t>
      </w:r>
      <w:r>
        <w:rPr>
          <w:rFonts w:hint="eastAsia" w:ascii="宋体" w:hAnsi="宋体" w:cs="黑体"/>
          <w:bCs/>
          <w:sz w:val="24"/>
        </w:rPr>
        <w:t>提出询问，询问可以口头方式提出，也可以书面方式提出。</w:t>
      </w:r>
    </w:p>
    <w:p>
      <w:pPr>
        <w:numPr>
          <w:ilvl w:val="1"/>
          <w:numId w:val="37"/>
        </w:numPr>
        <w:autoSpaceDE w:val="0"/>
        <w:autoSpaceDN w:val="0"/>
        <w:adjustRightInd w:val="0"/>
        <w:snapToGrid w:val="0"/>
        <w:spacing w:line="360" w:lineRule="auto"/>
        <w:ind w:left="648" w:hanging="648" w:hangingChars="270"/>
        <w:rPr>
          <w:rFonts w:ascii="宋体" w:hAnsi="宋体" w:cs="黑体"/>
          <w:b/>
          <w:bCs/>
          <w:sz w:val="24"/>
        </w:rPr>
      </w:pPr>
      <w:r>
        <w:rPr>
          <w:rFonts w:hint="eastAsia" w:ascii="宋体" w:hAnsi="宋体" w:cs="黑体"/>
          <w:bCs/>
          <w:sz w:val="24"/>
        </w:rPr>
        <w:t>如采用书面方式提出询问，投标人为自然人的，询问函应当由本人签字；投标人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w:t>
      </w:r>
    </w:p>
    <w:p>
      <w:pPr>
        <w:numPr>
          <w:ilvl w:val="1"/>
          <w:numId w:val="37"/>
        </w:numPr>
        <w:autoSpaceDE w:val="0"/>
        <w:autoSpaceDN w:val="0"/>
        <w:adjustRightInd w:val="0"/>
        <w:snapToGrid w:val="0"/>
        <w:spacing w:line="360" w:lineRule="auto"/>
        <w:ind w:left="648" w:hanging="648" w:hangingChars="270"/>
        <w:rPr>
          <w:rFonts w:ascii="宋体" w:hAnsi="宋体" w:cs="黑体"/>
          <w:b/>
          <w:bCs/>
          <w:sz w:val="24"/>
        </w:rPr>
      </w:pPr>
      <w:r>
        <w:rPr>
          <w:rFonts w:hint="eastAsia" w:ascii="宋体" w:hAnsi="宋体" w:cs="宋体"/>
          <w:sz w:val="24"/>
        </w:rPr>
        <w:t>采购人或者采购代理机构</w:t>
      </w:r>
      <w:r>
        <w:rPr>
          <w:rFonts w:hint="eastAsia" w:ascii="宋体" w:hAnsi="宋体" w:cs="黑体"/>
          <w:bCs/>
          <w:sz w:val="24"/>
        </w:rPr>
        <w:t>在三个工作日内对投标人依法提出的询问作出答复。</w:t>
      </w:r>
    </w:p>
    <w:p>
      <w:pPr>
        <w:numPr>
          <w:ilvl w:val="1"/>
          <w:numId w:val="37"/>
        </w:numPr>
        <w:autoSpaceDE w:val="0"/>
        <w:autoSpaceDN w:val="0"/>
        <w:adjustRightInd w:val="0"/>
        <w:snapToGrid w:val="0"/>
        <w:spacing w:line="360" w:lineRule="auto"/>
        <w:ind w:left="566" w:hanging="566" w:hangingChars="236"/>
        <w:rPr>
          <w:rFonts w:ascii="宋体" w:hAnsi="宋体" w:cs="黑体"/>
          <w:bCs/>
          <w:sz w:val="24"/>
        </w:rPr>
      </w:pPr>
      <w:r>
        <w:rPr>
          <w:rFonts w:hint="eastAsia" w:hAnsi="宋体"/>
          <w:snapToGrid w:val="0"/>
          <w:sz w:val="24"/>
        </w:rPr>
        <w:t>采购人或采购代理机构接收以书面形式递交的询问函，接收询问函的联系人、联系方式和通讯地址详见本招标文件第一章的</w:t>
      </w:r>
      <w:r>
        <w:rPr>
          <w:rFonts w:hint="eastAsia" w:hAnsi="宋体"/>
          <w:b/>
          <w:snapToGrid w:val="0"/>
          <w:sz w:val="24"/>
        </w:rPr>
        <w:t>联系事项</w:t>
      </w:r>
      <w:r>
        <w:rPr>
          <w:rFonts w:hint="eastAsia" w:ascii="宋体" w:hAnsi="宋体"/>
          <w:sz w:val="24"/>
        </w:rPr>
        <w:t>。</w:t>
      </w:r>
    </w:p>
    <w:p>
      <w:pPr>
        <w:numPr>
          <w:ilvl w:val="0"/>
          <w:numId w:val="37"/>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质疑</w:t>
      </w:r>
    </w:p>
    <w:p>
      <w:pPr>
        <w:numPr>
          <w:ilvl w:val="1"/>
          <w:numId w:val="37"/>
        </w:numPr>
        <w:autoSpaceDE w:val="0"/>
        <w:autoSpaceDN w:val="0"/>
        <w:adjustRightInd w:val="0"/>
        <w:snapToGrid w:val="0"/>
        <w:spacing w:line="360" w:lineRule="auto"/>
        <w:ind w:left="566" w:hanging="566" w:hangingChars="236"/>
        <w:rPr>
          <w:rFonts w:ascii="宋体" w:hAnsi="宋体" w:cs="黑体"/>
          <w:b/>
          <w:bCs/>
          <w:sz w:val="24"/>
        </w:rPr>
      </w:pPr>
      <w:r>
        <w:rPr>
          <w:rFonts w:hint="eastAsia" w:ascii="宋体" w:hAnsi="宋体" w:cs="黑体"/>
          <w:bCs/>
          <w:sz w:val="24"/>
        </w:rPr>
        <w:t>质疑期限：</w:t>
      </w:r>
    </w:p>
    <w:p>
      <w:pPr>
        <w:numPr>
          <w:ilvl w:val="2"/>
          <w:numId w:val="37"/>
        </w:numPr>
        <w:autoSpaceDE w:val="0"/>
        <w:autoSpaceDN w:val="0"/>
        <w:adjustRightInd w:val="0"/>
        <w:snapToGrid w:val="0"/>
        <w:spacing w:line="360" w:lineRule="auto"/>
        <w:ind w:left="566" w:hanging="566" w:hangingChars="236"/>
        <w:rPr>
          <w:rFonts w:ascii="宋体" w:hAnsi="宋体" w:cs="黑体"/>
          <w:b/>
          <w:bCs/>
          <w:sz w:val="24"/>
        </w:rPr>
      </w:pPr>
      <w:r>
        <w:rPr>
          <w:rFonts w:hint="eastAsia" w:ascii="宋体" w:hAnsi="宋体" w:cs="黑体"/>
          <w:bCs/>
          <w:sz w:val="24"/>
        </w:rPr>
        <w:t>投标人认为</w:t>
      </w:r>
      <w:r>
        <w:rPr>
          <w:rFonts w:hint="eastAsia" w:ascii="宋体" w:hAnsi="宋体" w:cs="黑体"/>
          <w:bCs/>
          <w:sz w:val="24"/>
          <w:u w:val="double"/>
        </w:rPr>
        <w:t>招标文件的内容</w:t>
      </w:r>
      <w:r>
        <w:rPr>
          <w:rFonts w:hint="eastAsia" w:ascii="宋体" w:hAnsi="宋体" w:cs="黑体"/>
          <w:bCs/>
          <w:sz w:val="24"/>
        </w:rPr>
        <w:t>损害其权益的，应在投标截止时间10日前提出。</w:t>
      </w:r>
    </w:p>
    <w:p>
      <w:pPr>
        <w:numPr>
          <w:ilvl w:val="2"/>
          <w:numId w:val="37"/>
        </w:numPr>
        <w:autoSpaceDE w:val="0"/>
        <w:autoSpaceDN w:val="0"/>
        <w:adjustRightInd w:val="0"/>
        <w:snapToGrid w:val="0"/>
        <w:spacing w:line="360" w:lineRule="auto"/>
        <w:ind w:left="566" w:hanging="566" w:hangingChars="236"/>
        <w:rPr>
          <w:rFonts w:ascii="宋体" w:hAnsi="宋体" w:cs="黑体"/>
          <w:b/>
          <w:bCs/>
          <w:sz w:val="24"/>
        </w:rPr>
      </w:pPr>
      <w:r>
        <w:rPr>
          <w:rFonts w:hint="eastAsia" w:ascii="宋体" w:hAnsi="宋体" w:cs="黑体"/>
          <w:bCs/>
          <w:sz w:val="24"/>
        </w:rPr>
        <w:t>投标人对开标有质疑的，应当在开标现场提出，采购人或采购代理机构应当当场作出答复，并制作记录。</w:t>
      </w:r>
    </w:p>
    <w:p>
      <w:pPr>
        <w:numPr>
          <w:ilvl w:val="2"/>
          <w:numId w:val="37"/>
        </w:numPr>
        <w:autoSpaceDE w:val="0"/>
        <w:autoSpaceDN w:val="0"/>
        <w:adjustRightInd w:val="0"/>
        <w:snapToGrid w:val="0"/>
        <w:spacing w:line="360" w:lineRule="auto"/>
        <w:ind w:left="566" w:hanging="566" w:hangingChars="236"/>
        <w:rPr>
          <w:rFonts w:ascii="宋体" w:hAnsi="宋体" w:cs="黑体"/>
          <w:b/>
          <w:bCs/>
          <w:sz w:val="24"/>
        </w:rPr>
      </w:pPr>
      <w:r>
        <w:rPr>
          <w:rFonts w:hint="eastAsia" w:ascii="宋体" w:hAnsi="宋体" w:cs="黑体"/>
          <w:bCs/>
          <w:sz w:val="24"/>
        </w:rPr>
        <w:t>投标人认为</w:t>
      </w:r>
      <w:r>
        <w:rPr>
          <w:rFonts w:hint="eastAsia" w:ascii="宋体" w:hAnsi="宋体" w:cs="黑体"/>
          <w:bCs/>
          <w:sz w:val="24"/>
          <w:u w:val="double"/>
        </w:rPr>
        <w:t>中标或者成交结果</w:t>
      </w:r>
      <w:r>
        <w:rPr>
          <w:rFonts w:hint="eastAsia" w:ascii="宋体" w:hAnsi="宋体" w:cs="黑体"/>
          <w:bCs/>
          <w:sz w:val="24"/>
        </w:rPr>
        <w:t>损害其权益的，应在中标或者成交结果公告期限届满之日起七个工作日内。</w:t>
      </w:r>
    </w:p>
    <w:p>
      <w:pPr>
        <w:numPr>
          <w:ilvl w:val="1"/>
          <w:numId w:val="37"/>
        </w:numPr>
        <w:autoSpaceDE w:val="0"/>
        <w:autoSpaceDN w:val="0"/>
        <w:adjustRightInd w:val="0"/>
        <w:snapToGrid w:val="0"/>
        <w:spacing w:line="360" w:lineRule="auto"/>
        <w:ind w:left="566" w:hanging="566" w:hangingChars="236"/>
        <w:rPr>
          <w:rFonts w:ascii="宋体" w:hAnsi="宋体" w:cs="黑体"/>
          <w:bCs/>
          <w:sz w:val="24"/>
        </w:rPr>
      </w:pPr>
      <w:r>
        <w:rPr>
          <w:rFonts w:hint="eastAsia" w:ascii="宋体" w:hAnsi="宋体" w:cs="黑体"/>
          <w:bCs/>
          <w:sz w:val="24"/>
        </w:rPr>
        <w:t>提交要求：</w:t>
      </w:r>
    </w:p>
    <w:p>
      <w:pPr>
        <w:numPr>
          <w:ilvl w:val="2"/>
          <w:numId w:val="37"/>
        </w:numPr>
        <w:autoSpaceDE w:val="0"/>
        <w:autoSpaceDN w:val="0"/>
        <w:adjustRightInd w:val="0"/>
        <w:snapToGrid w:val="0"/>
        <w:spacing w:line="360" w:lineRule="auto"/>
        <w:ind w:left="566" w:hanging="566" w:hangingChars="236"/>
        <w:rPr>
          <w:rFonts w:ascii="宋体" w:hAnsi="宋体" w:cs="黑体"/>
          <w:bCs/>
          <w:sz w:val="24"/>
        </w:rPr>
      </w:pPr>
      <w:r>
        <w:rPr>
          <w:rFonts w:hint="eastAsia" w:ascii="宋体" w:hAnsi="宋体" w:cs="黑体"/>
          <w:bCs/>
          <w:sz w:val="24"/>
        </w:rPr>
        <w:t>以书面形式向采购人或者采购代理机构</w:t>
      </w:r>
      <w:r>
        <w:rPr>
          <w:rFonts w:hint="eastAsia" w:ascii="宋体" w:hAnsi="宋体" w:cs="宋体"/>
          <w:sz w:val="24"/>
        </w:rPr>
        <w:t>一次性提出针对同一采购程序环节的</w:t>
      </w:r>
      <w:r>
        <w:rPr>
          <w:rFonts w:hint="eastAsia" w:ascii="宋体" w:hAnsi="宋体" w:cs="黑体"/>
          <w:bCs/>
          <w:sz w:val="24"/>
        </w:rPr>
        <w:t>质疑。</w:t>
      </w:r>
    </w:p>
    <w:p>
      <w:pPr>
        <w:numPr>
          <w:ilvl w:val="2"/>
          <w:numId w:val="37"/>
        </w:numPr>
        <w:autoSpaceDE w:val="0"/>
        <w:autoSpaceDN w:val="0"/>
        <w:adjustRightInd w:val="0"/>
        <w:snapToGrid w:val="0"/>
        <w:spacing w:line="360" w:lineRule="auto"/>
        <w:ind w:left="566" w:hanging="566" w:hangingChars="236"/>
        <w:rPr>
          <w:rFonts w:ascii="宋体" w:hAnsi="宋体" w:cs="黑体"/>
          <w:bCs/>
          <w:sz w:val="24"/>
        </w:rPr>
      </w:pPr>
      <w:r>
        <w:rPr>
          <w:rFonts w:hint="eastAsia" w:ascii="宋体" w:hAnsi="宋体" w:cs="黑体"/>
          <w:bCs/>
          <w:sz w:val="24"/>
        </w:rPr>
        <w:t>以联合体形式参加采购活动的，其质疑应当由组成联合体的所有投标人共同提出。</w:t>
      </w:r>
    </w:p>
    <w:p>
      <w:pPr>
        <w:numPr>
          <w:ilvl w:val="2"/>
          <w:numId w:val="37"/>
        </w:numPr>
        <w:autoSpaceDE w:val="0"/>
        <w:autoSpaceDN w:val="0"/>
        <w:adjustRightInd w:val="0"/>
        <w:snapToGrid w:val="0"/>
        <w:spacing w:line="360" w:lineRule="auto"/>
        <w:ind w:left="566" w:hanging="566" w:hangingChars="236"/>
        <w:rPr>
          <w:rFonts w:ascii="宋体" w:hAnsi="宋体" w:cs="黑体"/>
          <w:bCs/>
          <w:sz w:val="24"/>
        </w:rPr>
      </w:pPr>
      <w:r>
        <w:rPr>
          <w:rFonts w:hint="eastAsia" w:ascii="宋体" w:hAnsi="宋体" w:cs="黑体"/>
          <w:bCs/>
          <w:sz w:val="24"/>
        </w:rPr>
        <w:t>质疑函应当包括下列内容：</w:t>
      </w:r>
    </w:p>
    <w:p>
      <w:pPr>
        <w:pStyle w:val="101"/>
        <w:widowControl/>
        <w:numPr>
          <w:ilvl w:val="1"/>
          <w:numId w:val="30"/>
        </w:numPr>
        <w:tabs>
          <w:tab w:val="left" w:pos="709"/>
        </w:tabs>
        <w:adjustRightInd w:val="0"/>
        <w:snapToGrid w:val="0"/>
        <w:spacing w:line="360" w:lineRule="auto"/>
        <w:ind w:left="426" w:hanging="283" w:firstLineChars="0"/>
        <w:jc w:val="left"/>
        <w:rPr>
          <w:rFonts w:ascii="宋体" w:hAnsi="宋体"/>
          <w:bCs/>
          <w:sz w:val="24"/>
        </w:rPr>
      </w:pPr>
      <w:r>
        <w:rPr>
          <w:rFonts w:hint="eastAsia" w:ascii="宋体" w:hAnsi="宋体"/>
          <w:bCs/>
          <w:sz w:val="24"/>
        </w:rPr>
        <w:t>投标人的姓名或者名称、地址、邮编、联系人及联系电话；</w:t>
      </w:r>
    </w:p>
    <w:p>
      <w:pPr>
        <w:pStyle w:val="101"/>
        <w:widowControl/>
        <w:numPr>
          <w:ilvl w:val="1"/>
          <w:numId w:val="30"/>
        </w:numPr>
        <w:tabs>
          <w:tab w:val="left" w:pos="709"/>
        </w:tabs>
        <w:adjustRightInd w:val="0"/>
        <w:snapToGrid w:val="0"/>
        <w:spacing w:line="360" w:lineRule="auto"/>
        <w:ind w:left="426" w:hanging="283" w:firstLineChars="0"/>
        <w:jc w:val="left"/>
        <w:rPr>
          <w:rFonts w:ascii="宋体" w:hAnsi="宋体"/>
          <w:bCs/>
          <w:sz w:val="24"/>
        </w:rPr>
      </w:pPr>
      <w:r>
        <w:rPr>
          <w:rFonts w:hint="eastAsia" w:ascii="宋体" w:hAnsi="宋体"/>
          <w:bCs/>
          <w:sz w:val="24"/>
        </w:rPr>
        <w:t>质疑项目的名称及编号；</w:t>
      </w:r>
    </w:p>
    <w:p>
      <w:pPr>
        <w:pStyle w:val="101"/>
        <w:widowControl/>
        <w:numPr>
          <w:ilvl w:val="1"/>
          <w:numId w:val="30"/>
        </w:numPr>
        <w:tabs>
          <w:tab w:val="left" w:pos="709"/>
        </w:tabs>
        <w:adjustRightInd w:val="0"/>
        <w:snapToGrid w:val="0"/>
        <w:spacing w:line="360" w:lineRule="auto"/>
        <w:ind w:left="426" w:hanging="283" w:firstLineChars="0"/>
        <w:jc w:val="left"/>
        <w:rPr>
          <w:rFonts w:ascii="宋体" w:hAnsi="宋体"/>
          <w:bCs/>
          <w:sz w:val="24"/>
        </w:rPr>
      </w:pPr>
      <w:r>
        <w:rPr>
          <w:rFonts w:hint="eastAsia" w:ascii="宋体" w:hAnsi="宋体"/>
          <w:bCs/>
          <w:sz w:val="24"/>
        </w:rPr>
        <w:t>具体、明确的质疑事项和与质疑事项相关的请求；</w:t>
      </w:r>
    </w:p>
    <w:p>
      <w:pPr>
        <w:pStyle w:val="101"/>
        <w:widowControl/>
        <w:numPr>
          <w:ilvl w:val="1"/>
          <w:numId w:val="30"/>
        </w:numPr>
        <w:tabs>
          <w:tab w:val="left" w:pos="709"/>
        </w:tabs>
        <w:adjustRightInd w:val="0"/>
        <w:snapToGrid w:val="0"/>
        <w:spacing w:line="360" w:lineRule="auto"/>
        <w:ind w:left="426" w:hanging="283" w:firstLineChars="0"/>
        <w:jc w:val="left"/>
        <w:rPr>
          <w:rFonts w:ascii="宋体" w:hAnsi="宋体"/>
          <w:bCs/>
          <w:sz w:val="24"/>
        </w:rPr>
      </w:pPr>
      <w:r>
        <w:rPr>
          <w:rFonts w:hint="eastAsia" w:ascii="宋体" w:hAnsi="宋体"/>
          <w:bCs/>
          <w:sz w:val="24"/>
        </w:rPr>
        <w:t>事实依据；</w:t>
      </w:r>
    </w:p>
    <w:p>
      <w:pPr>
        <w:pStyle w:val="101"/>
        <w:widowControl/>
        <w:numPr>
          <w:ilvl w:val="1"/>
          <w:numId w:val="30"/>
        </w:numPr>
        <w:tabs>
          <w:tab w:val="left" w:pos="709"/>
        </w:tabs>
        <w:adjustRightInd w:val="0"/>
        <w:snapToGrid w:val="0"/>
        <w:spacing w:line="360" w:lineRule="auto"/>
        <w:ind w:left="426" w:hanging="283" w:firstLineChars="0"/>
        <w:jc w:val="left"/>
        <w:rPr>
          <w:rFonts w:ascii="宋体" w:hAnsi="宋体"/>
          <w:bCs/>
          <w:sz w:val="24"/>
        </w:rPr>
      </w:pPr>
      <w:r>
        <w:rPr>
          <w:rFonts w:hint="eastAsia" w:ascii="宋体" w:hAnsi="宋体"/>
          <w:bCs/>
          <w:sz w:val="24"/>
        </w:rPr>
        <w:t>必要的法律依据；</w:t>
      </w:r>
    </w:p>
    <w:p>
      <w:pPr>
        <w:pStyle w:val="101"/>
        <w:widowControl/>
        <w:numPr>
          <w:ilvl w:val="1"/>
          <w:numId w:val="30"/>
        </w:numPr>
        <w:tabs>
          <w:tab w:val="left" w:pos="709"/>
        </w:tabs>
        <w:adjustRightInd w:val="0"/>
        <w:snapToGrid w:val="0"/>
        <w:spacing w:line="360" w:lineRule="auto"/>
        <w:ind w:left="426" w:hanging="283" w:firstLineChars="0"/>
        <w:jc w:val="left"/>
        <w:rPr>
          <w:rFonts w:ascii="宋体" w:hAnsi="宋体"/>
          <w:bCs/>
          <w:sz w:val="24"/>
        </w:rPr>
      </w:pPr>
      <w:r>
        <w:rPr>
          <w:rFonts w:hint="eastAsia" w:ascii="宋体" w:hAnsi="宋体"/>
          <w:bCs/>
          <w:sz w:val="24"/>
        </w:rPr>
        <w:t>提出质疑的日期。</w:t>
      </w:r>
    </w:p>
    <w:p>
      <w:pPr>
        <w:numPr>
          <w:ilvl w:val="2"/>
          <w:numId w:val="37"/>
        </w:numPr>
        <w:autoSpaceDE w:val="0"/>
        <w:autoSpaceDN w:val="0"/>
        <w:adjustRightInd w:val="0"/>
        <w:snapToGrid w:val="0"/>
        <w:spacing w:line="360" w:lineRule="auto"/>
        <w:ind w:left="566" w:hanging="566" w:hangingChars="236"/>
        <w:rPr>
          <w:rFonts w:ascii="宋体" w:hAnsi="宋体" w:cs="黑体"/>
          <w:bCs/>
          <w:sz w:val="24"/>
        </w:rPr>
      </w:pPr>
      <w:r>
        <w:rPr>
          <w:rFonts w:hint="eastAsia" w:ascii="宋体" w:hAnsi="宋体" w:cs="黑体"/>
          <w:bCs/>
          <w:sz w:val="24"/>
        </w:rPr>
        <w:t>投标人为自然人的，质疑函应当由本人签字；投标人为法人或者其他组织的，应当由法定代表人、主要负责人或授权代表签字或者盖个人名章，并加盖公章。投标人递交质疑函时非法定代表人亲自办理的，应提供法定代表人授权委托书和授权代表身份证复印件，其授权委托书应载明授权代表的姓名或者名称、代理事项、具体权限、期限和相关事项。</w:t>
      </w:r>
    </w:p>
    <w:p>
      <w:pPr>
        <w:numPr>
          <w:ilvl w:val="1"/>
          <w:numId w:val="37"/>
        </w:numPr>
        <w:autoSpaceDE w:val="0"/>
        <w:autoSpaceDN w:val="0"/>
        <w:adjustRightInd w:val="0"/>
        <w:snapToGrid w:val="0"/>
        <w:spacing w:line="360" w:lineRule="auto"/>
        <w:ind w:left="566" w:hanging="566" w:hangingChars="236"/>
        <w:rPr>
          <w:rFonts w:ascii="宋体" w:hAnsi="宋体" w:cs="黑体"/>
          <w:bCs/>
          <w:sz w:val="24"/>
        </w:rPr>
      </w:pPr>
      <w:r>
        <w:rPr>
          <w:rFonts w:hint="eastAsia" w:ascii="宋体" w:hAnsi="宋体" w:cs="黑体"/>
          <w:bCs/>
          <w:sz w:val="24"/>
        </w:rPr>
        <w:t>投标人捏造事实、提供虚假材料或者以非法手段取得证明材料不能作为质疑的证明材料。</w:t>
      </w:r>
    </w:p>
    <w:p>
      <w:pPr>
        <w:numPr>
          <w:ilvl w:val="1"/>
          <w:numId w:val="37"/>
        </w:numPr>
        <w:autoSpaceDE w:val="0"/>
        <w:autoSpaceDN w:val="0"/>
        <w:adjustRightInd w:val="0"/>
        <w:snapToGrid w:val="0"/>
        <w:spacing w:line="360" w:lineRule="auto"/>
        <w:ind w:left="566" w:hanging="566" w:hangingChars="236"/>
        <w:rPr>
          <w:rFonts w:ascii="宋体" w:hAnsi="宋体" w:cs="黑体"/>
          <w:bCs/>
          <w:sz w:val="24"/>
        </w:rPr>
      </w:pPr>
      <w:r>
        <w:rPr>
          <w:rFonts w:hint="eastAsia" w:ascii="宋体" w:hAnsi="宋体" w:cs="宋体"/>
          <w:sz w:val="24"/>
        </w:rPr>
        <w:t>除对开标过程的质疑须当场回复外，其他质疑事项，采购人或者采购代理机构</w:t>
      </w:r>
      <w:r>
        <w:rPr>
          <w:rFonts w:hint="eastAsia" w:ascii="宋体" w:hAnsi="宋体"/>
          <w:sz w:val="24"/>
        </w:rPr>
        <w:t>在收到投标人的书面质疑后3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pPr>
        <w:numPr>
          <w:ilvl w:val="1"/>
          <w:numId w:val="37"/>
        </w:numPr>
        <w:autoSpaceDE w:val="0"/>
        <w:autoSpaceDN w:val="0"/>
        <w:adjustRightInd w:val="0"/>
        <w:snapToGrid w:val="0"/>
        <w:spacing w:line="360" w:lineRule="auto"/>
        <w:ind w:left="566" w:hanging="566" w:hangingChars="236"/>
        <w:rPr>
          <w:rFonts w:ascii="宋体" w:hAnsi="宋体" w:cs="黑体"/>
          <w:bCs/>
          <w:sz w:val="24"/>
        </w:rPr>
      </w:pPr>
      <w:r>
        <w:rPr>
          <w:rFonts w:hint="eastAsia" w:hAnsi="宋体"/>
          <w:snapToGrid w:val="0"/>
          <w:sz w:val="24"/>
        </w:rPr>
        <w:t>采购人或采购代理机构接收以书面形式递交的质疑函，接收质疑函的联系人、联系方式和通讯地址详见本招标文件第一章的</w:t>
      </w:r>
      <w:r>
        <w:rPr>
          <w:rFonts w:hint="eastAsia" w:hAnsi="宋体"/>
          <w:b/>
          <w:snapToGrid w:val="0"/>
          <w:sz w:val="24"/>
        </w:rPr>
        <w:t>联系事项</w:t>
      </w:r>
      <w:r>
        <w:rPr>
          <w:rFonts w:hint="eastAsia" w:ascii="宋体" w:hAnsi="宋体"/>
          <w:sz w:val="24"/>
        </w:rPr>
        <w:t>。</w:t>
      </w:r>
    </w:p>
    <w:p>
      <w:pPr>
        <w:numPr>
          <w:ilvl w:val="1"/>
          <w:numId w:val="37"/>
        </w:numPr>
        <w:autoSpaceDE w:val="0"/>
        <w:autoSpaceDN w:val="0"/>
        <w:adjustRightInd w:val="0"/>
        <w:snapToGrid w:val="0"/>
        <w:spacing w:line="360" w:lineRule="auto"/>
        <w:ind w:left="566" w:hanging="566" w:hangingChars="236"/>
        <w:rPr>
          <w:rFonts w:ascii="宋体" w:hAnsi="宋体" w:cs="黑体"/>
          <w:bCs/>
          <w:sz w:val="24"/>
        </w:rPr>
      </w:pPr>
      <w:r>
        <w:rPr>
          <w:rFonts w:hint="eastAsia" w:ascii="宋体" w:hAnsi="宋体"/>
          <w:sz w:val="24"/>
        </w:rPr>
        <w:t>具体询问、质疑函的格式详见本须知附件。</w:t>
      </w:r>
    </w:p>
    <w:p>
      <w:pPr>
        <w:numPr>
          <w:ilvl w:val="0"/>
          <w:numId w:val="37"/>
        </w:numPr>
        <w:autoSpaceDE w:val="0"/>
        <w:autoSpaceDN w:val="0"/>
        <w:adjustRightInd w:val="0"/>
        <w:snapToGrid w:val="0"/>
        <w:spacing w:line="360" w:lineRule="auto"/>
        <w:ind w:left="487" w:hanging="487" w:hangingChars="202"/>
        <w:outlineLvl w:val="3"/>
        <w:rPr>
          <w:rFonts w:ascii="宋体" w:hAnsi="宋体"/>
          <w:b/>
          <w:bCs/>
          <w:sz w:val="24"/>
        </w:rPr>
      </w:pPr>
      <w:r>
        <w:rPr>
          <w:rFonts w:hint="eastAsia" w:ascii="宋体" w:hAnsi="宋体"/>
          <w:b/>
          <w:bCs/>
          <w:sz w:val="24"/>
        </w:rPr>
        <w:t>投诉</w:t>
      </w:r>
    </w:p>
    <w:p>
      <w:pPr>
        <w:numPr>
          <w:ilvl w:val="1"/>
          <w:numId w:val="37"/>
        </w:numPr>
        <w:tabs>
          <w:tab w:val="left" w:pos="709"/>
        </w:tabs>
        <w:autoSpaceDE w:val="0"/>
        <w:autoSpaceDN w:val="0"/>
        <w:adjustRightInd w:val="0"/>
        <w:snapToGrid w:val="0"/>
        <w:spacing w:line="360" w:lineRule="auto"/>
        <w:ind w:left="566" w:hanging="566" w:hangingChars="236"/>
        <w:rPr>
          <w:rFonts w:ascii="宋体" w:hAnsi="宋体" w:cs="宋体"/>
          <w:szCs w:val="21"/>
        </w:rPr>
      </w:pPr>
      <w:r>
        <w:rPr>
          <w:rFonts w:hint="eastAsia" w:ascii="宋体" w:hAnsi="宋体"/>
          <w:sz w:val="24"/>
        </w:rPr>
        <w:t>质疑投标人对</w:t>
      </w:r>
      <w:r>
        <w:rPr>
          <w:rFonts w:hint="eastAsia" w:ascii="宋体" w:hAnsi="宋体" w:cs="宋体"/>
          <w:sz w:val="24"/>
        </w:rPr>
        <w:t>采购人或者采购代理机构</w:t>
      </w:r>
      <w:r>
        <w:rPr>
          <w:rFonts w:hint="eastAsia" w:ascii="宋体" w:hAnsi="宋体"/>
          <w:sz w:val="24"/>
        </w:rPr>
        <w:t>的质疑答复不满意，或</w:t>
      </w:r>
      <w:r>
        <w:rPr>
          <w:rFonts w:hint="eastAsia" w:ascii="宋体" w:hAnsi="宋体" w:cs="宋体"/>
          <w:sz w:val="24"/>
        </w:rPr>
        <w:t>采购人或者采购代理机构</w:t>
      </w:r>
      <w:r>
        <w:rPr>
          <w:rFonts w:hint="eastAsia" w:ascii="宋体" w:hAnsi="宋体"/>
          <w:sz w:val="24"/>
        </w:rPr>
        <w:t>未在规定期限内作出答复的，可以在答复期满后十五个工作日内向采购监督管理部门提出投诉。</w:t>
      </w:r>
    </w:p>
    <w:p>
      <w:pPr>
        <w:widowControl/>
        <w:jc w:val="left"/>
        <w:rPr>
          <w:rFonts w:ascii="宋体" w:hAnsi="宋体" w:cs="宋体"/>
          <w:szCs w:val="21"/>
        </w:rPr>
      </w:pPr>
      <w:r>
        <w:rPr>
          <w:rFonts w:ascii="宋体" w:hAnsi="宋体" w:cs="宋体"/>
          <w:szCs w:val="21"/>
        </w:rPr>
        <w:br w:type="page"/>
      </w:r>
    </w:p>
    <w:p>
      <w:pPr>
        <w:autoSpaceDE w:val="0"/>
        <w:autoSpaceDN w:val="0"/>
        <w:adjustRightInd w:val="0"/>
        <w:snapToGrid w:val="0"/>
        <w:spacing w:line="360" w:lineRule="auto"/>
        <w:rPr>
          <w:rFonts w:ascii="宋体" w:hAnsi="宋体"/>
          <w:b/>
          <w:sz w:val="24"/>
        </w:rPr>
      </w:pPr>
      <w:r>
        <w:rPr>
          <w:rFonts w:hint="eastAsia" w:ascii="宋体" w:hAnsi="宋体"/>
          <w:b/>
          <w:bCs/>
          <w:sz w:val="24"/>
        </w:rPr>
        <w:t>附件：询问函、质疑函格式</w:t>
      </w:r>
    </w:p>
    <w:p>
      <w:pPr>
        <w:snapToGrid w:val="0"/>
        <w:spacing w:line="360" w:lineRule="auto"/>
        <w:rPr>
          <w:rFonts w:ascii="宋体" w:hAnsi="宋体"/>
          <w:b/>
          <w:sz w:val="24"/>
        </w:rPr>
      </w:pPr>
      <w:r>
        <w:rPr>
          <w:rFonts w:hint="eastAsia" w:ascii="宋体" w:hAnsi="宋体"/>
          <w:b/>
          <w:sz w:val="24"/>
        </w:rPr>
        <w:t>说明：本部分格式为投标人提交询问函、质疑函时使用，不属于投标文件格式的组成部分。</w:t>
      </w:r>
    </w:p>
    <w:p>
      <w:pPr>
        <w:pStyle w:val="51"/>
        <w:adjustRightInd w:val="0"/>
        <w:snapToGrid w:val="0"/>
        <w:spacing w:before="0" w:beforeAutospacing="0" w:after="0" w:afterAutospacing="0" w:line="360" w:lineRule="auto"/>
        <w:jc w:val="both"/>
      </w:pPr>
    </w:p>
    <w:p>
      <w:pPr>
        <w:pStyle w:val="51"/>
        <w:adjustRightInd w:val="0"/>
        <w:snapToGrid w:val="0"/>
        <w:spacing w:before="0" w:beforeAutospacing="0" w:after="0" w:afterAutospacing="0" w:line="360" w:lineRule="auto"/>
        <w:jc w:val="both"/>
        <w:rPr>
          <w:b/>
        </w:rPr>
      </w:pPr>
      <w:r>
        <w:rPr>
          <w:rFonts w:hint="eastAsia"/>
          <w:b/>
        </w:rPr>
        <w:t>1.询问函格式</w:t>
      </w:r>
    </w:p>
    <w:p>
      <w:pPr>
        <w:pStyle w:val="51"/>
        <w:spacing w:before="0" w:beforeAutospacing="0" w:after="0" w:afterAutospacing="0" w:line="360" w:lineRule="auto"/>
        <w:jc w:val="center"/>
        <w:rPr>
          <w:rStyle w:val="58"/>
        </w:rPr>
      </w:pPr>
      <w:r>
        <w:rPr>
          <w:rStyle w:val="58"/>
          <w:rFonts w:hint="eastAsia"/>
        </w:rPr>
        <w:t>询问函</w:t>
      </w:r>
    </w:p>
    <w:p>
      <w:pPr>
        <w:widowControl/>
        <w:snapToGrid w:val="0"/>
        <w:spacing w:line="360" w:lineRule="auto"/>
        <w:rPr>
          <w:rFonts w:ascii="宋体" w:hAnsi="宋体"/>
          <w:sz w:val="24"/>
        </w:rPr>
      </w:pPr>
      <w:r>
        <w:rPr>
          <w:rFonts w:hint="eastAsia" w:ascii="宋体" w:hAnsi="宋体"/>
          <w:sz w:val="24"/>
          <w:u w:val="single"/>
        </w:rPr>
        <w:t>广州市白云城市建设投资有限公司</w:t>
      </w:r>
      <w:r>
        <w:rPr>
          <w:rFonts w:hint="eastAsia" w:ascii="宋体" w:hAnsi="宋体"/>
          <w:sz w:val="24"/>
        </w:rPr>
        <w:t>：</w:t>
      </w:r>
    </w:p>
    <w:p>
      <w:pPr>
        <w:widowControl/>
        <w:tabs>
          <w:tab w:val="left" w:pos="6300"/>
        </w:tabs>
        <w:snapToGrid w:val="0"/>
        <w:spacing w:line="360" w:lineRule="auto"/>
        <w:ind w:firstLine="480" w:firstLineChars="200"/>
        <w:rPr>
          <w:rFonts w:ascii="宋体" w:hAnsi="宋体"/>
          <w:sz w:val="24"/>
        </w:rPr>
      </w:pPr>
      <w:r>
        <w:rPr>
          <w:rFonts w:hint="eastAsia" w:ascii="宋体" w:hAnsi="宋体"/>
          <w:sz w:val="24"/>
        </w:rPr>
        <w:t>我单位已报名并准备参与</w:t>
      </w:r>
      <w:r>
        <w:rPr>
          <w:rFonts w:hint="eastAsia" w:ascii="宋体" w:hAnsi="宋体"/>
          <w:i/>
          <w:sz w:val="24"/>
          <w:u w:val="single"/>
        </w:rPr>
        <w:t>（项目名称）</w:t>
      </w:r>
      <w:r>
        <w:rPr>
          <w:rFonts w:hint="eastAsia" w:ascii="宋体" w:hAnsi="宋体"/>
          <w:sz w:val="24"/>
        </w:rPr>
        <w:t>项目（项目采购编号：）的投标（或报价）活动，现有以下几个内容（或条款）存在疑问（或无法理解），特提出询问。</w:t>
      </w:r>
    </w:p>
    <w:p>
      <w:pPr>
        <w:widowControl/>
        <w:tabs>
          <w:tab w:val="center" w:pos="5019"/>
        </w:tabs>
        <w:snapToGrid w:val="0"/>
        <w:spacing w:line="360" w:lineRule="auto"/>
        <w:ind w:firstLine="480" w:firstLineChars="200"/>
        <w:rPr>
          <w:rFonts w:ascii="宋体" w:hAnsi="宋体"/>
          <w:sz w:val="24"/>
        </w:rPr>
      </w:pPr>
      <w:r>
        <w:rPr>
          <w:rFonts w:hint="eastAsia" w:ascii="宋体" w:hAnsi="宋体"/>
          <w:sz w:val="24"/>
        </w:rPr>
        <w:t>一、_____________________（事项一）</w:t>
      </w:r>
      <w:r>
        <w:rPr>
          <w:rFonts w:ascii="宋体" w:hAnsi="宋体"/>
          <w:sz w:val="24"/>
        </w:rPr>
        <w:tab/>
      </w:r>
    </w:p>
    <w:p>
      <w:pPr>
        <w:widowControl/>
        <w:tabs>
          <w:tab w:val="left" w:pos="6300"/>
        </w:tabs>
        <w:snapToGrid w:val="0"/>
        <w:spacing w:line="360" w:lineRule="auto"/>
        <w:ind w:firstLine="480" w:firstLineChars="200"/>
        <w:rPr>
          <w:rFonts w:ascii="宋体" w:hAnsi="宋体"/>
          <w:sz w:val="24"/>
        </w:rPr>
      </w:pPr>
      <w:r>
        <w:rPr>
          <w:rFonts w:hint="eastAsia" w:ascii="宋体" w:hAnsi="宋体"/>
          <w:sz w:val="24"/>
        </w:rPr>
        <w:t>（1）____________________（问题或条款内容）</w:t>
      </w:r>
    </w:p>
    <w:p>
      <w:pPr>
        <w:widowControl/>
        <w:tabs>
          <w:tab w:val="left" w:pos="6300"/>
        </w:tabs>
        <w:snapToGrid w:val="0"/>
        <w:spacing w:line="360" w:lineRule="auto"/>
        <w:ind w:firstLine="480" w:firstLineChars="200"/>
        <w:rPr>
          <w:rFonts w:ascii="宋体" w:hAnsi="宋体"/>
          <w:sz w:val="24"/>
        </w:rPr>
      </w:pPr>
      <w:r>
        <w:rPr>
          <w:rFonts w:hint="eastAsia" w:ascii="宋体" w:hAnsi="宋体"/>
          <w:sz w:val="24"/>
        </w:rPr>
        <w:t>（2）____________________（说明疑问或无法理解原因）</w:t>
      </w:r>
    </w:p>
    <w:p>
      <w:pPr>
        <w:widowControl/>
        <w:tabs>
          <w:tab w:val="left" w:pos="6300"/>
        </w:tabs>
        <w:snapToGrid w:val="0"/>
        <w:spacing w:line="360" w:lineRule="auto"/>
        <w:ind w:firstLine="480" w:firstLineChars="200"/>
        <w:rPr>
          <w:rFonts w:ascii="宋体" w:hAnsi="宋体"/>
          <w:sz w:val="24"/>
        </w:rPr>
      </w:pPr>
      <w:r>
        <w:rPr>
          <w:rFonts w:hint="eastAsia" w:ascii="宋体" w:hAnsi="宋体"/>
          <w:sz w:val="24"/>
        </w:rPr>
        <w:t>（3）____________________（建议）</w:t>
      </w:r>
    </w:p>
    <w:p>
      <w:pPr>
        <w:widowControl/>
        <w:tabs>
          <w:tab w:val="left" w:pos="6300"/>
        </w:tabs>
        <w:snapToGrid w:val="0"/>
        <w:spacing w:line="360" w:lineRule="auto"/>
        <w:ind w:firstLine="480" w:firstLineChars="200"/>
        <w:rPr>
          <w:rFonts w:ascii="宋体" w:hAnsi="宋体"/>
          <w:sz w:val="24"/>
        </w:rPr>
      </w:pPr>
      <w:r>
        <w:rPr>
          <w:rFonts w:hint="eastAsia" w:ascii="宋体" w:hAnsi="宋体"/>
          <w:sz w:val="24"/>
        </w:rPr>
        <w:t>二、_____________________（事项二）</w:t>
      </w:r>
    </w:p>
    <w:p>
      <w:pPr>
        <w:widowControl/>
        <w:tabs>
          <w:tab w:val="left" w:pos="6300"/>
        </w:tabs>
        <w:snapToGrid w:val="0"/>
        <w:spacing w:line="360" w:lineRule="auto"/>
        <w:ind w:firstLine="480" w:firstLineChars="200"/>
        <w:rPr>
          <w:rFonts w:ascii="宋体" w:hAnsi="宋体"/>
          <w:sz w:val="24"/>
        </w:rPr>
      </w:pPr>
      <w:r>
        <w:rPr>
          <w:rFonts w:hint="eastAsia" w:ascii="宋体" w:hAnsi="宋体"/>
          <w:sz w:val="24"/>
        </w:rPr>
        <w:t>……</w:t>
      </w:r>
    </w:p>
    <w:p>
      <w:pPr>
        <w:widowControl/>
        <w:tabs>
          <w:tab w:val="left" w:pos="6300"/>
        </w:tabs>
        <w:snapToGrid w:val="0"/>
        <w:spacing w:line="360" w:lineRule="auto"/>
        <w:jc w:val="left"/>
        <w:rPr>
          <w:rFonts w:ascii="宋体" w:hAnsi="宋体"/>
          <w:b/>
          <w:sz w:val="24"/>
        </w:rPr>
      </w:pPr>
      <w:r>
        <w:rPr>
          <w:rFonts w:hint="eastAsia" w:ascii="宋体" w:hAnsi="宋体"/>
          <w:b/>
          <w:sz w:val="24"/>
        </w:rPr>
        <w:t>随附相关证明材料如下：（目录）。</w:t>
      </w:r>
    </w:p>
    <w:p>
      <w:pPr>
        <w:widowControl/>
        <w:tabs>
          <w:tab w:val="left" w:pos="6300"/>
        </w:tabs>
        <w:snapToGrid w:val="0"/>
        <w:spacing w:line="360" w:lineRule="auto"/>
        <w:ind w:firstLine="1440" w:firstLineChars="600"/>
        <w:rPr>
          <w:rFonts w:ascii="宋体" w:hAnsi="宋体"/>
          <w:sz w:val="24"/>
        </w:rPr>
      </w:pPr>
    </w:p>
    <w:p>
      <w:pPr>
        <w:widowControl/>
        <w:tabs>
          <w:tab w:val="left" w:pos="6300"/>
        </w:tabs>
        <w:snapToGrid w:val="0"/>
        <w:spacing w:line="360" w:lineRule="auto"/>
        <w:jc w:val="left"/>
        <w:rPr>
          <w:rFonts w:ascii="宋体" w:hAnsi="宋体"/>
          <w:sz w:val="24"/>
        </w:rPr>
      </w:pPr>
      <w:r>
        <w:rPr>
          <w:rFonts w:hint="eastAsia" w:ascii="宋体" w:hAnsi="宋体"/>
          <w:sz w:val="24"/>
        </w:rPr>
        <w:t>询问人（公章）：</w:t>
      </w:r>
    </w:p>
    <w:p>
      <w:pPr>
        <w:widowControl/>
        <w:tabs>
          <w:tab w:val="left" w:pos="6300"/>
        </w:tabs>
        <w:snapToGrid w:val="0"/>
        <w:spacing w:line="360" w:lineRule="auto"/>
        <w:jc w:val="left"/>
        <w:rPr>
          <w:rFonts w:ascii="宋体" w:hAnsi="宋体"/>
          <w:sz w:val="24"/>
        </w:rPr>
      </w:pPr>
      <w:r>
        <w:rPr>
          <w:rFonts w:hint="eastAsia" w:ascii="宋体" w:hAnsi="宋体"/>
          <w:sz w:val="24"/>
        </w:rPr>
        <w:t>法定代表人（授权代表）：</w:t>
      </w:r>
    </w:p>
    <w:p>
      <w:pPr>
        <w:tabs>
          <w:tab w:val="left" w:pos="6300"/>
        </w:tabs>
        <w:snapToGrid w:val="0"/>
        <w:spacing w:line="360" w:lineRule="auto"/>
        <w:jc w:val="left"/>
        <w:rPr>
          <w:rFonts w:ascii="宋体" w:hAnsi="宋体"/>
          <w:sz w:val="24"/>
        </w:rPr>
      </w:pPr>
      <w:r>
        <w:rPr>
          <w:rFonts w:hint="eastAsia" w:ascii="宋体" w:hAnsi="宋体"/>
          <w:sz w:val="24"/>
        </w:rPr>
        <w:t>地址/邮编：</w:t>
      </w:r>
    </w:p>
    <w:p>
      <w:pPr>
        <w:tabs>
          <w:tab w:val="left" w:pos="6300"/>
        </w:tabs>
        <w:snapToGrid w:val="0"/>
        <w:spacing w:line="360" w:lineRule="auto"/>
        <w:jc w:val="left"/>
        <w:rPr>
          <w:rFonts w:ascii="宋体" w:hAnsi="宋体"/>
          <w:sz w:val="24"/>
        </w:rPr>
      </w:pPr>
      <w:r>
        <w:rPr>
          <w:rFonts w:hint="eastAsia" w:ascii="宋体" w:hAnsi="宋体"/>
          <w:sz w:val="24"/>
        </w:rPr>
        <w:t>电话/传真：</w:t>
      </w:r>
    </w:p>
    <w:p>
      <w:pPr>
        <w:wordWrap w:val="0"/>
        <w:spacing w:line="360" w:lineRule="auto"/>
        <w:jc w:val="left"/>
        <w:rPr>
          <w:rFonts w:ascii="宋体" w:hAnsi="宋体"/>
          <w:sz w:val="24"/>
        </w:rPr>
      </w:pPr>
      <w:r>
        <w:rPr>
          <w:rFonts w:hint="eastAsia" w:ascii="宋体" w:hAnsi="宋体"/>
          <w:sz w:val="24"/>
        </w:rPr>
        <w:t xml:space="preserve">日期：  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napToGrid w:val="0"/>
        <w:spacing w:line="360" w:lineRule="auto"/>
        <w:ind w:firstLine="482" w:firstLineChars="201"/>
        <w:rPr>
          <w:rFonts w:ascii="宋体" w:hAnsi="宋体"/>
          <w:sz w:val="24"/>
        </w:rPr>
      </w:pPr>
    </w:p>
    <w:p>
      <w:pPr>
        <w:pStyle w:val="51"/>
        <w:adjustRightInd w:val="0"/>
        <w:snapToGrid w:val="0"/>
        <w:spacing w:before="0" w:beforeAutospacing="0" w:after="0" w:afterAutospacing="0" w:line="360" w:lineRule="auto"/>
        <w:jc w:val="both"/>
      </w:pPr>
      <w:r>
        <w:br w:type="page"/>
      </w:r>
      <w:r>
        <w:rPr>
          <w:rFonts w:hint="eastAsia"/>
          <w:b/>
        </w:rPr>
        <w:t>2.质疑函格式</w:t>
      </w:r>
    </w:p>
    <w:p>
      <w:pPr>
        <w:jc w:val="center"/>
        <w:rPr>
          <w:rFonts w:ascii="宋体" w:hAnsi="宋体" w:cs="仿宋"/>
          <w:b/>
          <w:bCs/>
          <w:sz w:val="24"/>
        </w:rPr>
      </w:pPr>
      <w:r>
        <w:rPr>
          <w:rFonts w:hint="eastAsia" w:ascii="宋体" w:hAnsi="宋体" w:cs="仿宋"/>
          <w:b/>
          <w:bCs/>
          <w:sz w:val="24"/>
        </w:rPr>
        <w:t>质疑函范本</w:t>
      </w:r>
    </w:p>
    <w:p>
      <w:pPr>
        <w:adjustRightInd w:val="0"/>
        <w:snapToGrid w:val="0"/>
        <w:spacing w:line="360" w:lineRule="auto"/>
        <w:rPr>
          <w:rFonts w:ascii="宋体" w:hAnsi="宋体" w:cs="仿宋"/>
          <w:b/>
          <w:bCs/>
          <w:sz w:val="24"/>
        </w:rPr>
      </w:pPr>
      <w:r>
        <w:rPr>
          <w:rFonts w:hint="eastAsia" w:ascii="宋体" w:hAnsi="宋体" w:cs="仿宋"/>
          <w:b/>
          <w:bCs/>
          <w:sz w:val="24"/>
        </w:rPr>
        <w:t>一、质疑投标人基本信息</w:t>
      </w:r>
    </w:p>
    <w:p>
      <w:pPr>
        <w:adjustRightInd w:val="0"/>
        <w:snapToGrid w:val="0"/>
        <w:spacing w:line="360" w:lineRule="auto"/>
        <w:rPr>
          <w:rFonts w:ascii="宋体" w:hAnsi="宋体" w:cs="仿宋"/>
          <w:sz w:val="24"/>
          <w:u w:val="dotted"/>
        </w:rPr>
      </w:pPr>
      <w:r>
        <w:rPr>
          <w:rFonts w:hint="eastAsia" w:ascii="宋体" w:hAnsi="宋体" w:cs="仿宋"/>
          <w:sz w:val="24"/>
        </w:rPr>
        <w:t>质疑投标人：</w:t>
      </w:r>
    </w:p>
    <w:p>
      <w:pPr>
        <w:adjustRightInd w:val="0"/>
        <w:snapToGrid w:val="0"/>
        <w:spacing w:line="360" w:lineRule="auto"/>
        <w:rPr>
          <w:rFonts w:ascii="宋体" w:hAnsi="宋体" w:cs="仿宋"/>
          <w:sz w:val="24"/>
        </w:rPr>
      </w:pPr>
      <w:r>
        <w:rPr>
          <w:rFonts w:hint="eastAsia" w:ascii="宋体" w:hAnsi="宋体" w:cs="仿宋"/>
          <w:sz w:val="24"/>
        </w:rPr>
        <w:t>地址：邮编：</w:t>
      </w:r>
    </w:p>
    <w:p>
      <w:pPr>
        <w:adjustRightInd w:val="0"/>
        <w:snapToGrid w:val="0"/>
        <w:spacing w:line="360" w:lineRule="auto"/>
        <w:rPr>
          <w:rFonts w:ascii="宋体" w:hAnsi="宋体" w:cs="仿宋"/>
          <w:sz w:val="24"/>
        </w:rPr>
      </w:pPr>
      <w:r>
        <w:rPr>
          <w:rFonts w:hint="eastAsia" w:ascii="宋体" w:hAnsi="宋体" w:cs="仿宋"/>
          <w:sz w:val="24"/>
        </w:rPr>
        <w:t>联系人：联系电话：</w:t>
      </w:r>
    </w:p>
    <w:p>
      <w:pPr>
        <w:adjustRightInd w:val="0"/>
        <w:snapToGrid w:val="0"/>
        <w:spacing w:line="360" w:lineRule="auto"/>
        <w:rPr>
          <w:rFonts w:ascii="宋体" w:hAnsi="宋体" w:cs="仿宋"/>
          <w:sz w:val="24"/>
          <w:u w:val="dotted"/>
        </w:rPr>
      </w:pPr>
      <w:r>
        <w:rPr>
          <w:rFonts w:hint="eastAsia" w:ascii="宋体" w:hAnsi="宋体" w:cs="仿宋"/>
          <w:sz w:val="24"/>
        </w:rPr>
        <w:t>授权代表：</w:t>
      </w:r>
    </w:p>
    <w:p>
      <w:pPr>
        <w:adjustRightInd w:val="0"/>
        <w:snapToGrid w:val="0"/>
        <w:spacing w:line="360" w:lineRule="auto"/>
        <w:rPr>
          <w:rFonts w:ascii="宋体" w:hAnsi="宋体" w:cs="仿宋"/>
          <w:sz w:val="24"/>
        </w:rPr>
      </w:pPr>
      <w:r>
        <w:rPr>
          <w:rFonts w:hint="eastAsia" w:ascii="宋体" w:hAnsi="宋体" w:cs="仿宋"/>
          <w:sz w:val="24"/>
        </w:rPr>
        <w:t>联系电话：</w:t>
      </w:r>
    </w:p>
    <w:p>
      <w:pPr>
        <w:adjustRightInd w:val="0"/>
        <w:snapToGrid w:val="0"/>
        <w:spacing w:line="360" w:lineRule="auto"/>
        <w:rPr>
          <w:rFonts w:ascii="宋体" w:hAnsi="宋体" w:cs="仿宋"/>
          <w:sz w:val="24"/>
        </w:rPr>
      </w:pPr>
      <w:r>
        <w:rPr>
          <w:rFonts w:hint="eastAsia" w:ascii="宋体" w:hAnsi="宋体" w:cs="仿宋"/>
          <w:sz w:val="24"/>
        </w:rPr>
        <w:t>地址：邮编：</w:t>
      </w:r>
    </w:p>
    <w:p>
      <w:pPr>
        <w:adjustRightInd w:val="0"/>
        <w:snapToGrid w:val="0"/>
        <w:spacing w:line="360" w:lineRule="auto"/>
        <w:rPr>
          <w:rFonts w:ascii="宋体" w:hAnsi="宋体" w:cs="仿宋"/>
          <w:b/>
          <w:bCs/>
          <w:sz w:val="24"/>
        </w:rPr>
      </w:pPr>
      <w:r>
        <w:rPr>
          <w:rFonts w:hint="eastAsia" w:ascii="宋体" w:hAnsi="宋体" w:cs="仿宋"/>
          <w:b/>
          <w:bCs/>
          <w:sz w:val="24"/>
        </w:rPr>
        <w:t>二、质疑项目基本情况</w:t>
      </w:r>
    </w:p>
    <w:p>
      <w:pPr>
        <w:adjustRightInd w:val="0"/>
        <w:snapToGrid w:val="0"/>
        <w:spacing w:line="360" w:lineRule="auto"/>
        <w:rPr>
          <w:rFonts w:ascii="宋体" w:hAnsi="宋体" w:cs="仿宋"/>
          <w:sz w:val="24"/>
        </w:rPr>
      </w:pPr>
      <w:r>
        <w:rPr>
          <w:rFonts w:hint="eastAsia" w:ascii="宋体" w:hAnsi="宋体" w:cs="仿宋"/>
          <w:sz w:val="24"/>
        </w:rPr>
        <w:t>质疑项目的名称：</w:t>
      </w:r>
    </w:p>
    <w:p>
      <w:pPr>
        <w:adjustRightInd w:val="0"/>
        <w:snapToGrid w:val="0"/>
        <w:spacing w:line="360" w:lineRule="auto"/>
        <w:rPr>
          <w:rFonts w:ascii="宋体" w:hAnsi="宋体" w:cs="仿宋"/>
          <w:sz w:val="24"/>
        </w:rPr>
      </w:pPr>
      <w:r>
        <w:rPr>
          <w:rFonts w:hint="eastAsia" w:ascii="宋体" w:hAnsi="宋体" w:cs="仿宋"/>
          <w:sz w:val="24"/>
        </w:rPr>
        <w:t>质疑项目的编号：包号：</w:t>
      </w:r>
    </w:p>
    <w:p>
      <w:pPr>
        <w:adjustRightInd w:val="0"/>
        <w:snapToGrid w:val="0"/>
        <w:spacing w:line="360" w:lineRule="auto"/>
        <w:rPr>
          <w:rFonts w:ascii="宋体" w:hAnsi="宋体" w:cs="仿宋"/>
          <w:sz w:val="24"/>
          <w:u w:val="single"/>
        </w:rPr>
      </w:pPr>
      <w:r>
        <w:rPr>
          <w:rFonts w:hint="eastAsia" w:ascii="宋体" w:hAnsi="宋体" w:cs="仿宋"/>
          <w:sz w:val="24"/>
        </w:rPr>
        <w:t>采购人名称：</w:t>
      </w:r>
    </w:p>
    <w:p>
      <w:pPr>
        <w:adjustRightInd w:val="0"/>
        <w:snapToGrid w:val="0"/>
        <w:spacing w:line="360" w:lineRule="auto"/>
        <w:rPr>
          <w:rFonts w:ascii="宋体" w:hAnsi="宋体" w:cs="仿宋"/>
          <w:sz w:val="24"/>
          <w:u w:val="single"/>
        </w:rPr>
      </w:pPr>
      <w:r>
        <w:rPr>
          <w:rFonts w:hint="eastAsia" w:ascii="宋体" w:hAnsi="宋体" w:cs="仿宋"/>
          <w:sz w:val="24"/>
        </w:rPr>
        <w:t>采购文件获取日期：</w:t>
      </w:r>
    </w:p>
    <w:p>
      <w:pPr>
        <w:adjustRightInd w:val="0"/>
        <w:snapToGrid w:val="0"/>
        <w:spacing w:line="360" w:lineRule="auto"/>
        <w:rPr>
          <w:rFonts w:ascii="宋体" w:hAnsi="宋体" w:cs="仿宋"/>
          <w:b/>
          <w:bCs/>
          <w:sz w:val="24"/>
        </w:rPr>
      </w:pPr>
      <w:r>
        <w:rPr>
          <w:rFonts w:hint="eastAsia" w:ascii="宋体" w:hAnsi="宋体" w:cs="仿宋"/>
          <w:b/>
          <w:bCs/>
          <w:sz w:val="24"/>
        </w:rPr>
        <w:t>三、质疑事项具体内容</w:t>
      </w:r>
    </w:p>
    <w:p>
      <w:pPr>
        <w:adjustRightInd w:val="0"/>
        <w:snapToGrid w:val="0"/>
        <w:spacing w:line="360" w:lineRule="auto"/>
        <w:rPr>
          <w:rFonts w:ascii="宋体" w:hAnsi="宋体" w:cs="仿宋"/>
          <w:sz w:val="24"/>
          <w:u w:val="single"/>
        </w:rPr>
      </w:pPr>
      <w:r>
        <w:rPr>
          <w:rFonts w:hint="eastAsia" w:ascii="宋体" w:hAnsi="宋体" w:cs="仿宋"/>
          <w:sz w:val="24"/>
        </w:rPr>
        <w:t>质疑事项1：</w:t>
      </w:r>
    </w:p>
    <w:p>
      <w:pPr>
        <w:adjustRightInd w:val="0"/>
        <w:snapToGrid w:val="0"/>
        <w:spacing w:line="360" w:lineRule="auto"/>
        <w:rPr>
          <w:rFonts w:ascii="宋体" w:hAnsi="宋体" w:cs="仿宋"/>
          <w:sz w:val="24"/>
          <w:u w:val="single"/>
        </w:rPr>
      </w:pPr>
      <w:r>
        <w:rPr>
          <w:rFonts w:hint="eastAsia" w:ascii="宋体" w:hAnsi="宋体" w:cs="仿宋"/>
          <w:sz w:val="24"/>
        </w:rPr>
        <w:t>事实依据：</w:t>
      </w:r>
    </w:p>
    <w:p>
      <w:pPr>
        <w:adjustRightInd w:val="0"/>
        <w:snapToGrid w:val="0"/>
        <w:spacing w:line="360" w:lineRule="auto"/>
        <w:rPr>
          <w:rFonts w:ascii="宋体" w:hAnsi="宋体" w:cs="仿宋"/>
          <w:sz w:val="24"/>
          <w:u w:val="single"/>
        </w:rPr>
      </w:pPr>
    </w:p>
    <w:p>
      <w:pPr>
        <w:adjustRightInd w:val="0"/>
        <w:snapToGrid w:val="0"/>
        <w:spacing w:line="360" w:lineRule="auto"/>
        <w:rPr>
          <w:rFonts w:ascii="宋体" w:hAnsi="宋体" w:cs="仿宋"/>
          <w:sz w:val="24"/>
          <w:u w:val="single"/>
        </w:rPr>
      </w:pPr>
      <w:r>
        <w:rPr>
          <w:rFonts w:hint="eastAsia" w:ascii="宋体" w:hAnsi="宋体" w:cs="仿宋"/>
          <w:sz w:val="24"/>
        </w:rPr>
        <w:t>法律依据：</w:t>
      </w:r>
    </w:p>
    <w:p>
      <w:pPr>
        <w:adjustRightInd w:val="0"/>
        <w:snapToGrid w:val="0"/>
        <w:spacing w:line="360" w:lineRule="auto"/>
        <w:rPr>
          <w:rFonts w:ascii="宋体" w:hAnsi="宋体" w:cs="仿宋"/>
          <w:sz w:val="24"/>
          <w:u w:val="single"/>
        </w:rPr>
      </w:pPr>
    </w:p>
    <w:p>
      <w:pPr>
        <w:adjustRightInd w:val="0"/>
        <w:snapToGrid w:val="0"/>
        <w:spacing w:line="360" w:lineRule="auto"/>
        <w:rPr>
          <w:rFonts w:ascii="宋体" w:hAnsi="宋体" w:cs="仿宋"/>
          <w:sz w:val="24"/>
          <w:u w:val="dotted"/>
        </w:rPr>
      </w:pPr>
      <w:r>
        <w:rPr>
          <w:rFonts w:hint="eastAsia" w:ascii="宋体" w:hAnsi="宋体" w:cs="仿宋"/>
          <w:sz w:val="24"/>
        </w:rPr>
        <w:t>质疑事项2</w:t>
      </w:r>
    </w:p>
    <w:p>
      <w:pPr>
        <w:adjustRightInd w:val="0"/>
        <w:snapToGrid w:val="0"/>
        <w:spacing w:line="360" w:lineRule="auto"/>
        <w:rPr>
          <w:rFonts w:ascii="宋体" w:hAnsi="宋体" w:cs="仿宋"/>
          <w:sz w:val="24"/>
        </w:rPr>
      </w:pPr>
      <w:r>
        <w:rPr>
          <w:rFonts w:hint="eastAsia" w:ascii="宋体" w:hAnsi="宋体" w:cs="仿宋"/>
          <w:sz w:val="24"/>
        </w:rPr>
        <w:t>……</w:t>
      </w:r>
    </w:p>
    <w:p>
      <w:pPr>
        <w:adjustRightInd w:val="0"/>
        <w:snapToGrid w:val="0"/>
        <w:spacing w:line="360" w:lineRule="auto"/>
        <w:rPr>
          <w:rFonts w:ascii="宋体" w:hAnsi="宋体" w:cs="仿宋"/>
          <w:bCs/>
          <w:sz w:val="24"/>
        </w:rPr>
      </w:pPr>
      <w:r>
        <w:rPr>
          <w:rFonts w:hint="eastAsia" w:ascii="宋体" w:hAnsi="宋体" w:cs="仿宋"/>
          <w:bCs/>
          <w:sz w:val="24"/>
        </w:rPr>
        <w:t>四、与质疑事项相关的质疑请求</w:t>
      </w:r>
    </w:p>
    <w:p>
      <w:pPr>
        <w:adjustRightInd w:val="0"/>
        <w:snapToGrid w:val="0"/>
        <w:spacing w:line="360" w:lineRule="auto"/>
        <w:rPr>
          <w:rFonts w:ascii="宋体" w:hAnsi="宋体" w:cs="仿宋"/>
          <w:sz w:val="24"/>
          <w:u w:val="dotted"/>
        </w:rPr>
      </w:pPr>
      <w:r>
        <w:rPr>
          <w:rFonts w:hint="eastAsia" w:ascii="宋体" w:hAnsi="宋体" w:cs="仿宋"/>
          <w:sz w:val="24"/>
        </w:rPr>
        <w:t>请求：</w:t>
      </w:r>
    </w:p>
    <w:p>
      <w:pPr>
        <w:adjustRightInd w:val="0"/>
        <w:snapToGrid w:val="0"/>
        <w:spacing w:line="360" w:lineRule="auto"/>
        <w:rPr>
          <w:rFonts w:ascii="宋体" w:hAnsi="宋体"/>
          <w:sz w:val="24"/>
        </w:rPr>
      </w:pPr>
    </w:p>
    <w:p>
      <w:pPr>
        <w:widowControl/>
        <w:tabs>
          <w:tab w:val="left" w:pos="6300"/>
        </w:tabs>
        <w:snapToGrid w:val="0"/>
        <w:spacing w:line="360" w:lineRule="auto"/>
        <w:jc w:val="left"/>
        <w:rPr>
          <w:rFonts w:ascii="宋体" w:hAnsi="宋体"/>
          <w:sz w:val="24"/>
        </w:rPr>
      </w:pPr>
      <w:r>
        <w:rPr>
          <w:rFonts w:hint="eastAsia" w:ascii="宋体" w:hAnsi="宋体"/>
          <w:sz w:val="24"/>
        </w:rPr>
        <w:t>投标人（盖章）：</w:t>
      </w:r>
    </w:p>
    <w:p>
      <w:pPr>
        <w:widowControl/>
        <w:tabs>
          <w:tab w:val="left" w:pos="6300"/>
        </w:tabs>
        <w:snapToGrid w:val="0"/>
        <w:spacing w:line="360" w:lineRule="auto"/>
        <w:jc w:val="left"/>
        <w:rPr>
          <w:rFonts w:ascii="宋体" w:hAnsi="宋体"/>
          <w:sz w:val="24"/>
        </w:rPr>
      </w:pPr>
      <w:r>
        <w:rPr>
          <w:rFonts w:hint="eastAsia" w:ascii="宋体" w:hAnsi="宋体"/>
          <w:sz w:val="24"/>
        </w:rPr>
        <w:t>法定代表人（授权代表）：</w:t>
      </w:r>
    </w:p>
    <w:p>
      <w:pPr>
        <w:tabs>
          <w:tab w:val="left" w:pos="6300"/>
        </w:tabs>
        <w:snapToGrid w:val="0"/>
        <w:spacing w:line="360" w:lineRule="auto"/>
        <w:jc w:val="left"/>
        <w:rPr>
          <w:rFonts w:ascii="宋体" w:hAnsi="宋体"/>
          <w:sz w:val="24"/>
        </w:rPr>
      </w:pPr>
      <w:r>
        <w:rPr>
          <w:rFonts w:hint="eastAsia" w:ascii="宋体" w:hAnsi="宋体"/>
          <w:sz w:val="24"/>
        </w:rPr>
        <w:t>地址/邮编：</w:t>
      </w:r>
    </w:p>
    <w:p>
      <w:pPr>
        <w:tabs>
          <w:tab w:val="left" w:pos="6300"/>
        </w:tabs>
        <w:snapToGrid w:val="0"/>
        <w:spacing w:line="360" w:lineRule="auto"/>
        <w:jc w:val="left"/>
        <w:rPr>
          <w:rFonts w:ascii="宋体" w:hAnsi="宋体"/>
          <w:sz w:val="24"/>
        </w:rPr>
      </w:pPr>
      <w:r>
        <w:rPr>
          <w:rFonts w:hint="eastAsia" w:ascii="宋体" w:hAnsi="宋体"/>
          <w:sz w:val="24"/>
        </w:rPr>
        <w:t>电话/传真：</w:t>
      </w:r>
    </w:p>
    <w:p>
      <w:pPr>
        <w:spacing w:line="360" w:lineRule="auto"/>
        <w:jc w:val="left"/>
        <w:rPr>
          <w:rFonts w:ascii="宋体" w:hAnsi="宋体"/>
          <w:sz w:val="24"/>
        </w:rPr>
      </w:pPr>
      <w:r>
        <w:rPr>
          <w:rFonts w:hint="eastAsia" w:ascii="宋体" w:hAnsi="宋体"/>
          <w:sz w:val="24"/>
        </w:rPr>
        <w:t>日期：  年   月  日</w:t>
      </w:r>
    </w:p>
    <w:p>
      <w:pPr>
        <w:adjustRightInd w:val="0"/>
        <w:snapToGrid w:val="0"/>
        <w:spacing w:line="360" w:lineRule="auto"/>
        <w:rPr>
          <w:rFonts w:ascii="宋体" w:hAnsi="宋体" w:cs="仿宋"/>
          <w:b/>
          <w:sz w:val="24"/>
        </w:rPr>
      </w:pPr>
      <w:r>
        <w:rPr>
          <w:rFonts w:hint="eastAsia" w:ascii="宋体" w:hAnsi="宋体"/>
          <w:b/>
          <w:sz w:val="24"/>
        </w:rPr>
        <w:t>随附相关证明材料如下</w:t>
      </w:r>
      <w:r>
        <w:rPr>
          <w:rFonts w:hint="eastAsia" w:ascii="宋体" w:hAnsi="宋体" w:cs="仿宋"/>
          <w:b/>
          <w:sz w:val="24"/>
        </w:rPr>
        <w:t>：</w:t>
      </w:r>
    </w:p>
    <w:tbl>
      <w:tblPr>
        <w:tblStyle w:val="55"/>
        <w:tblW w:w="9002" w:type="dxa"/>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747"/>
        <w:gridCol w:w="2761"/>
        <w:gridCol w:w="2247"/>
        <w:gridCol w:w="22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jc w:val="right"/>
        </w:trPr>
        <w:tc>
          <w:tcPr>
            <w:tcW w:w="1747" w:type="dxa"/>
            <w:shd w:val="clear" w:color="auto" w:fill="auto"/>
            <w:tcMar>
              <w:top w:w="72" w:type="dxa"/>
              <w:left w:w="144" w:type="dxa"/>
              <w:bottom w:w="72" w:type="dxa"/>
              <w:right w:w="144" w:type="dxa"/>
            </w:tcMar>
            <w:vAlign w:val="center"/>
          </w:tcPr>
          <w:p>
            <w:pPr>
              <w:adjustRightInd w:val="0"/>
              <w:snapToGrid w:val="0"/>
              <w:spacing w:line="360" w:lineRule="auto"/>
              <w:jc w:val="center"/>
              <w:rPr>
                <w:rFonts w:ascii="宋体" w:hAnsi="宋体" w:cs="仿宋"/>
                <w:b/>
                <w:sz w:val="24"/>
              </w:rPr>
            </w:pPr>
            <w:r>
              <w:rPr>
                <w:rFonts w:hint="eastAsia" w:ascii="宋体" w:hAnsi="宋体" w:cs="仿宋"/>
                <w:b/>
                <w:sz w:val="24"/>
              </w:rPr>
              <w:t>序号</w:t>
            </w:r>
          </w:p>
        </w:tc>
        <w:tc>
          <w:tcPr>
            <w:tcW w:w="2761" w:type="dxa"/>
            <w:shd w:val="clear" w:color="auto" w:fill="auto"/>
            <w:tcMar>
              <w:top w:w="72" w:type="dxa"/>
              <w:left w:w="144" w:type="dxa"/>
              <w:bottom w:w="72" w:type="dxa"/>
              <w:right w:w="144" w:type="dxa"/>
            </w:tcMar>
            <w:vAlign w:val="center"/>
          </w:tcPr>
          <w:p>
            <w:pPr>
              <w:adjustRightInd w:val="0"/>
              <w:snapToGrid w:val="0"/>
              <w:spacing w:line="360" w:lineRule="auto"/>
              <w:jc w:val="center"/>
              <w:rPr>
                <w:rFonts w:ascii="宋体" w:hAnsi="宋体" w:cs="仿宋"/>
                <w:b/>
                <w:sz w:val="24"/>
              </w:rPr>
            </w:pPr>
            <w:r>
              <w:rPr>
                <w:rFonts w:hint="eastAsia" w:hAnsi="宋体"/>
                <w:b/>
                <w:sz w:val="24"/>
              </w:rPr>
              <w:t>证明材料</w:t>
            </w:r>
            <w:r>
              <w:rPr>
                <w:rFonts w:hint="eastAsia" w:ascii="宋体" w:hAnsi="宋体" w:cs="仿宋"/>
                <w:b/>
                <w:sz w:val="24"/>
              </w:rPr>
              <w:t>名称</w:t>
            </w:r>
          </w:p>
        </w:tc>
        <w:tc>
          <w:tcPr>
            <w:tcW w:w="2247" w:type="dxa"/>
            <w:shd w:val="clear" w:color="auto" w:fill="auto"/>
            <w:tcMar>
              <w:top w:w="72" w:type="dxa"/>
              <w:left w:w="144" w:type="dxa"/>
              <w:bottom w:w="72" w:type="dxa"/>
              <w:right w:w="144" w:type="dxa"/>
            </w:tcMar>
            <w:vAlign w:val="center"/>
          </w:tcPr>
          <w:p>
            <w:pPr>
              <w:adjustRightInd w:val="0"/>
              <w:snapToGrid w:val="0"/>
              <w:spacing w:line="360" w:lineRule="auto"/>
              <w:jc w:val="center"/>
              <w:rPr>
                <w:rFonts w:ascii="宋体" w:hAnsi="宋体" w:cs="仿宋"/>
                <w:b/>
                <w:sz w:val="24"/>
              </w:rPr>
            </w:pPr>
            <w:r>
              <w:rPr>
                <w:rFonts w:hint="eastAsia" w:hAnsi="宋体"/>
                <w:b/>
                <w:sz w:val="24"/>
              </w:rPr>
              <w:t>证明材料</w:t>
            </w:r>
            <w:r>
              <w:rPr>
                <w:rFonts w:hint="eastAsia" w:ascii="宋体" w:hAnsi="宋体" w:cs="仿宋"/>
                <w:b/>
                <w:sz w:val="24"/>
              </w:rPr>
              <w:t>来源</w:t>
            </w:r>
          </w:p>
        </w:tc>
        <w:tc>
          <w:tcPr>
            <w:tcW w:w="2247" w:type="dxa"/>
            <w:shd w:val="clear" w:color="auto" w:fill="auto"/>
            <w:tcMar>
              <w:top w:w="72" w:type="dxa"/>
              <w:left w:w="144" w:type="dxa"/>
              <w:bottom w:w="72" w:type="dxa"/>
              <w:right w:w="144" w:type="dxa"/>
            </w:tcMar>
            <w:vAlign w:val="center"/>
          </w:tcPr>
          <w:p>
            <w:pPr>
              <w:adjustRightInd w:val="0"/>
              <w:snapToGrid w:val="0"/>
              <w:spacing w:line="360" w:lineRule="auto"/>
              <w:jc w:val="center"/>
              <w:rPr>
                <w:rFonts w:ascii="宋体" w:hAnsi="宋体" w:cs="仿宋"/>
                <w:b/>
                <w:sz w:val="24"/>
              </w:rPr>
            </w:pPr>
            <w:r>
              <w:rPr>
                <w:rFonts w:hint="eastAsia" w:ascii="宋体" w:hAnsi="宋体" w:cs="仿宋"/>
                <w:b/>
                <w:sz w:val="24"/>
              </w:rPr>
              <w:t>证明对象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jc w:val="right"/>
        </w:trPr>
        <w:tc>
          <w:tcPr>
            <w:tcW w:w="1747" w:type="dxa"/>
            <w:shd w:val="clear" w:color="auto" w:fill="auto"/>
            <w:tcMar>
              <w:top w:w="72" w:type="dxa"/>
              <w:left w:w="144" w:type="dxa"/>
              <w:bottom w:w="72" w:type="dxa"/>
              <w:right w:w="144" w:type="dxa"/>
            </w:tcMar>
          </w:tcPr>
          <w:p>
            <w:pPr>
              <w:adjustRightInd w:val="0"/>
              <w:snapToGrid w:val="0"/>
              <w:spacing w:line="360" w:lineRule="auto"/>
              <w:jc w:val="center"/>
              <w:rPr>
                <w:rFonts w:ascii="宋体" w:hAnsi="宋体" w:cs="仿宋"/>
                <w:sz w:val="24"/>
              </w:rPr>
            </w:pPr>
            <w:r>
              <w:rPr>
                <w:rFonts w:ascii="宋体" w:hAnsi="宋体" w:cs="仿宋"/>
                <w:sz w:val="24"/>
              </w:rPr>
              <w:t>1</w:t>
            </w:r>
          </w:p>
        </w:tc>
        <w:tc>
          <w:tcPr>
            <w:tcW w:w="2761"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jc w:val="right"/>
        </w:trPr>
        <w:tc>
          <w:tcPr>
            <w:tcW w:w="1747" w:type="dxa"/>
            <w:shd w:val="clear" w:color="auto" w:fill="auto"/>
            <w:tcMar>
              <w:top w:w="72" w:type="dxa"/>
              <w:left w:w="144" w:type="dxa"/>
              <w:bottom w:w="72" w:type="dxa"/>
              <w:right w:w="144" w:type="dxa"/>
            </w:tcMar>
          </w:tcPr>
          <w:p>
            <w:pPr>
              <w:adjustRightInd w:val="0"/>
              <w:snapToGrid w:val="0"/>
              <w:spacing w:line="360" w:lineRule="auto"/>
              <w:jc w:val="center"/>
              <w:rPr>
                <w:rFonts w:ascii="宋体" w:hAnsi="宋体" w:cs="仿宋"/>
                <w:sz w:val="24"/>
              </w:rPr>
            </w:pPr>
            <w:r>
              <w:rPr>
                <w:rFonts w:ascii="宋体" w:hAnsi="宋体" w:cs="仿宋"/>
                <w:sz w:val="24"/>
              </w:rPr>
              <w:t>2</w:t>
            </w:r>
          </w:p>
        </w:tc>
        <w:tc>
          <w:tcPr>
            <w:tcW w:w="2761"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7" w:hRule="atLeast"/>
          <w:jc w:val="right"/>
        </w:trPr>
        <w:tc>
          <w:tcPr>
            <w:tcW w:w="1747" w:type="dxa"/>
            <w:shd w:val="clear" w:color="auto" w:fill="auto"/>
            <w:tcMar>
              <w:top w:w="72" w:type="dxa"/>
              <w:left w:w="144" w:type="dxa"/>
              <w:bottom w:w="72" w:type="dxa"/>
              <w:right w:w="144" w:type="dxa"/>
            </w:tcMar>
          </w:tcPr>
          <w:p>
            <w:pPr>
              <w:adjustRightInd w:val="0"/>
              <w:snapToGrid w:val="0"/>
              <w:spacing w:line="360" w:lineRule="auto"/>
              <w:jc w:val="center"/>
              <w:rPr>
                <w:rFonts w:ascii="宋体" w:hAnsi="宋体" w:cs="仿宋"/>
                <w:sz w:val="24"/>
              </w:rPr>
            </w:pPr>
            <w:r>
              <w:rPr>
                <w:rFonts w:hint="eastAsia" w:ascii="宋体" w:hAnsi="宋体" w:cs="仿宋"/>
                <w:sz w:val="24"/>
              </w:rPr>
              <w:t>……</w:t>
            </w:r>
          </w:p>
        </w:tc>
        <w:tc>
          <w:tcPr>
            <w:tcW w:w="2761"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sz w:val="24"/>
              </w:rPr>
            </w:pPr>
          </w:p>
        </w:tc>
      </w:tr>
    </w:tbl>
    <w:p>
      <w:pPr>
        <w:pStyle w:val="101"/>
        <w:widowControl/>
        <w:numPr>
          <w:ilvl w:val="0"/>
          <w:numId w:val="38"/>
        </w:numPr>
        <w:spacing w:line="360" w:lineRule="auto"/>
        <w:ind w:firstLineChars="0"/>
        <w:jc w:val="left"/>
        <w:rPr>
          <w:rFonts w:ascii="宋体" w:hAnsi="宋体"/>
          <w:b/>
          <w:sz w:val="24"/>
        </w:rPr>
      </w:pPr>
      <w:r>
        <w:rPr>
          <w:rFonts w:hint="eastAsia" w:ascii="宋体" w:hAnsi="宋体"/>
          <w:b/>
          <w:sz w:val="24"/>
        </w:rPr>
        <w:t>相关说明</w:t>
      </w:r>
    </w:p>
    <w:p>
      <w:pPr>
        <w:pStyle w:val="101"/>
        <w:widowControl/>
        <w:numPr>
          <w:ilvl w:val="0"/>
          <w:numId w:val="39"/>
        </w:numPr>
        <w:spacing w:line="360" w:lineRule="auto"/>
        <w:ind w:firstLineChars="0"/>
        <w:jc w:val="left"/>
        <w:rPr>
          <w:rFonts w:ascii="宋体" w:hAnsi="宋体"/>
          <w:sz w:val="24"/>
        </w:rPr>
      </w:pPr>
      <w:r>
        <w:rPr>
          <w:rFonts w:hint="eastAsia" w:ascii="宋体" w:hAnsi="宋体"/>
          <w:sz w:val="24"/>
        </w:rPr>
        <w:t>投标人提出质疑时，应提交质疑函和必要的证明材料。</w:t>
      </w:r>
    </w:p>
    <w:p>
      <w:pPr>
        <w:pStyle w:val="101"/>
        <w:widowControl/>
        <w:numPr>
          <w:ilvl w:val="0"/>
          <w:numId w:val="39"/>
        </w:numPr>
        <w:spacing w:line="360" w:lineRule="auto"/>
        <w:ind w:firstLineChars="0"/>
        <w:jc w:val="left"/>
        <w:rPr>
          <w:rFonts w:ascii="宋体" w:hAnsi="宋体"/>
          <w:sz w:val="24"/>
        </w:rPr>
      </w:pPr>
      <w:r>
        <w:rPr>
          <w:rFonts w:hint="eastAsia" w:ascii="宋体" w:hAnsi="宋体"/>
          <w:sz w:val="24"/>
        </w:rPr>
        <w:t>质疑投标人若委托代理人进行质疑的，质疑函应按要求列明“授权代表”的有关内容，并在附件中提交由质疑</w:t>
      </w:r>
      <w:r>
        <w:rPr>
          <w:rFonts w:hint="eastAsia" w:ascii="宋体" w:hAnsi="宋体" w:cs="宋体"/>
          <w:kern w:val="0"/>
          <w:sz w:val="24"/>
        </w:rPr>
        <w:t>投标人签署的授权委托书。授权委托书应载明代理人的姓名或者名称、代理事项、具体权限、期限和相关事项。</w:t>
      </w:r>
    </w:p>
    <w:p>
      <w:pPr>
        <w:pStyle w:val="101"/>
        <w:widowControl/>
        <w:numPr>
          <w:ilvl w:val="0"/>
          <w:numId w:val="39"/>
        </w:numPr>
        <w:spacing w:line="360" w:lineRule="auto"/>
        <w:ind w:firstLineChars="0"/>
        <w:jc w:val="left"/>
        <w:rPr>
          <w:rFonts w:ascii="宋体" w:hAnsi="宋体"/>
          <w:sz w:val="24"/>
        </w:rPr>
      </w:pPr>
      <w:r>
        <w:rPr>
          <w:rFonts w:hint="eastAsia" w:ascii="宋体" w:hAnsi="宋体"/>
          <w:sz w:val="24"/>
        </w:rPr>
        <w:t>质疑投标人若对项目的某一分包进行质疑，质疑函中</w:t>
      </w:r>
      <w:r>
        <w:rPr>
          <w:rFonts w:hint="eastAsia" w:ascii="宋体" w:hAnsi="宋体"/>
          <w:b/>
          <w:sz w:val="24"/>
          <w:u w:val="single"/>
        </w:rPr>
        <w:t>应列明具体分包号</w:t>
      </w:r>
      <w:r>
        <w:rPr>
          <w:rFonts w:hint="eastAsia" w:ascii="宋体" w:hAnsi="宋体"/>
          <w:sz w:val="24"/>
        </w:rPr>
        <w:t>。</w:t>
      </w:r>
    </w:p>
    <w:p>
      <w:pPr>
        <w:pStyle w:val="101"/>
        <w:widowControl/>
        <w:numPr>
          <w:ilvl w:val="0"/>
          <w:numId w:val="39"/>
        </w:numPr>
        <w:spacing w:line="360" w:lineRule="auto"/>
        <w:ind w:firstLineChars="0"/>
        <w:jc w:val="left"/>
        <w:rPr>
          <w:rFonts w:ascii="宋体" w:hAnsi="宋体"/>
          <w:sz w:val="24"/>
        </w:rPr>
      </w:pPr>
      <w:r>
        <w:rPr>
          <w:rFonts w:hint="eastAsia" w:ascii="宋体" w:hAnsi="宋体"/>
          <w:sz w:val="24"/>
        </w:rPr>
        <w:t>质疑函的质疑事项应具体、明确，并有必要的事实依据和法律依据。</w:t>
      </w:r>
    </w:p>
    <w:p>
      <w:pPr>
        <w:pStyle w:val="101"/>
        <w:widowControl/>
        <w:numPr>
          <w:ilvl w:val="0"/>
          <w:numId w:val="39"/>
        </w:numPr>
        <w:spacing w:line="360" w:lineRule="auto"/>
        <w:ind w:firstLineChars="0"/>
        <w:jc w:val="left"/>
        <w:rPr>
          <w:rFonts w:ascii="宋体" w:hAnsi="宋体"/>
          <w:sz w:val="24"/>
        </w:rPr>
      </w:pPr>
      <w:r>
        <w:rPr>
          <w:rFonts w:hint="eastAsia" w:ascii="宋体" w:hAnsi="宋体"/>
          <w:sz w:val="24"/>
        </w:rPr>
        <w:t>质疑函的质疑请求应与质疑事项相关。</w:t>
      </w:r>
    </w:p>
    <w:p>
      <w:pPr>
        <w:pStyle w:val="101"/>
        <w:numPr>
          <w:ilvl w:val="0"/>
          <w:numId w:val="39"/>
        </w:numPr>
        <w:spacing w:line="360" w:lineRule="auto"/>
        <w:ind w:firstLineChars="0"/>
        <w:rPr>
          <w:rFonts w:ascii="宋体" w:hAnsi="宋体"/>
          <w:sz w:val="24"/>
        </w:rPr>
      </w:pPr>
      <w:r>
        <w:rPr>
          <w:rFonts w:hint="eastAsia" w:ascii="宋体" w:hAnsi="宋体"/>
          <w:sz w:val="24"/>
        </w:rPr>
        <w:t>质疑投标人为自然人的，质疑函应由本人签字；质疑投标人为法人或者其他组织的，质疑函应由法定代表人、主要负责人，或者其授权代表签字或者盖个人名章，并加盖公章。</w:t>
      </w:r>
    </w:p>
    <w:p>
      <w:pPr>
        <w:pStyle w:val="101"/>
        <w:numPr>
          <w:ilvl w:val="0"/>
          <w:numId w:val="39"/>
        </w:numPr>
        <w:spacing w:line="360" w:lineRule="auto"/>
        <w:ind w:firstLineChars="0"/>
        <w:rPr>
          <w:rFonts w:ascii="宋体" w:hAnsi="宋体"/>
          <w:sz w:val="24"/>
        </w:rPr>
      </w:pPr>
      <w:r>
        <w:rPr>
          <w:rFonts w:hint="eastAsia" w:ascii="宋体" w:hAnsi="宋体"/>
          <w:sz w:val="24"/>
        </w:rPr>
        <w:t>投标人应在提交的证明材料中对质疑点的内容</w:t>
      </w:r>
      <w:r>
        <w:rPr>
          <w:rFonts w:hint="eastAsia" w:ascii="宋体" w:hAnsi="宋体"/>
          <w:b/>
          <w:sz w:val="24"/>
          <w:u w:val="single"/>
        </w:rPr>
        <w:t>作出相应的标识或以醒目的方式标明</w:t>
      </w:r>
      <w:r>
        <w:rPr>
          <w:rFonts w:hint="eastAsia" w:ascii="宋体" w:hAnsi="宋体"/>
          <w:sz w:val="24"/>
        </w:rPr>
        <w:t>。</w:t>
      </w:r>
    </w:p>
    <w:p>
      <w:pPr>
        <w:widowControl/>
        <w:jc w:val="left"/>
        <w:rPr>
          <w:b/>
          <w:bCs/>
          <w:sz w:val="28"/>
          <w:szCs w:val="28"/>
        </w:rPr>
      </w:pPr>
      <w:r>
        <w:rPr>
          <w:b/>
          <w:bCs/>
          <w:sz w:val="28"/>
          <w:szCs w:val="28"/>
        </w:rPr>
        <w:br w:type="page"/>
      </w:r>
    </w:p>
    <w:bookmarkEnd w:id="12"/>
    <w:bookmarkEnd w:id="13"/>
    <w:bookmarkEnd w:id="14"/>
    <w:bookmarkEnd w:id="19"/>
    <w:p>
      <w:pPr>
        <w:widowControl/>
        <w:spacing w:line="360" w:lineRule="auto"/>
        <w:jc w:val="center"/>
        <w:outlineLvl w:val="0"/>
        <w:rPr>
          <w:b/>
          <w:bCs/>
          <w:sz w:val="28"/>
          <w:szCs w:val="28"/>
        </w:rPr>
      </w:pPr>
      <w:bookmarkStart w:id="52" w:name="_Toc13067023"/>
      <w:bookmarkStart w:id="53" w:name="_Toc22802"/>
      <w:r>
        <w:rPr>
          <w:rFonts w:hint="eastAsia"/>
          <w:b/>
          <w:bCs/>
          <w:sz w:val="28"/>
          <w:szCs w:val="28"/>
        </w:rPr>
        <w:t>第五章  合同格式条款</w:t>
      </w:r>
      <w:bookmarkEnd w:id="52"/>
      <w:bookmarkEnd w:id="53"/>
    </w:p>
    <w:p>
      <w:pPr>
        <w:spacing w:line="480" w:lineRule="auto"/>
        <w:jc w:val="center"/>
        <w:rPr>
          <w:rFonts w:ascii="宋体" w:hAnsi="宋体" w:cs="宋体"/>
          <w:b/>
          <w:bCs/>
          <w:sz w:val="36"/>
          <w:szCs w:val="36"/>
        </w:rPr>
      </w:pPr>
      <w:bookmarkStart w:id="54" w:name="_Toc435115056"/>
      <w:bookmarkStart w:id="55" w:name="_Toc435514851"/>
      <w:bookmarkStart w:id="56" w:name="_Toc13067024"/>
    </w:p>
    <w:p>
      <w:pPr>
        <w:spacing w:line="480" w:lineRule="auto"/>
        <w:jc w:val="center"/>
        <w:rPr>
          <w:rFonts w:ascii="宋体" w:hAnsi="宋体" w:cs="宋体"/>
          <w:sz w:val="28"/>
          <w:szCs w:val="28"/>
        </w:rPr>
      </w:pPr>
      <w:r>
        <w:rPr>
          <w:rFonts w:hint="eastAsia" w:ascii="宋体" w:hAnsi="宋体" w:cs="宋体"/>
          <w:b/>
          <w:bCs/>
          <w:sz w:val="36"/>
          <w:szCs w:val="36"/>
        </w:rPr>
        <w:t>食材配送服务合同</w:t>
      </w:r>
    </w:p>
    <w:p>
      <w:pPr>
        <w:spacing w:line="480" w:lineRule="auto"/>
        <w:rPr>
          <w:rFonts w:ascii="宋体" w:hAnsi="宋体" w:cs="宋体"/>
          <w:b/>
          <w:bCs/>
          <w:sz w:val="28"/>
          <w:szCs w:val="28"/>
        </w:rPr>
      </w:pPr>
    </w:p>
    <w:p>
      <w:pPr>
        <w:spacing w:line="480" w:lineRule="auto"/>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采购方（甲方）：</w:t>
      </w:r>
      <w:r>
        <w:rPr>
          <w:rFonts w:hint="eastAsia" w:ascii="仿宋_GB2312" w:hAnsi="仿宋_GB2312" w:eastAsia="仿宋_GB2312" w:cs="仿宋_GB2312"/>
          <w:b/>
          <w:sz w:val="32"/>
          <w:szCs w:val="32"/>
        </w:rPr>
        <w:t xml:space="preserve">广州市白云城市开发投资集团有限公司 </w:t>
      </w:r>
    </w:p>
    <w:p>
      <w:pPr>
        <w:spacing w:line="480" w:lineRule="auto"/>
        <w:rPr>
          <w:rFonts w:ascii="仿宋_GB2312" w:hAnsi="仿宋_GB2312" w:eastAsia="仿宋_GB2312" w:cs="仿宋_GB2312"/>
          <w:b/>
          <w:sz w:val="32"/>
          <w:szCs w:val="32"/>
        </w:rPr>
      </w:pPr>
      <w:r>
        <w:rPr>
          <w:rFonts w:hint="eastAsia" w:ascii="仿宋_GB2312" w:hAnsi="仿宋_GB2312" w:eastAsia="仿宋_GB2312" w:cs="仿宋_GB2312"/>
          <w:b/>
          <w:sz w:val="32"/>
          <w:szCs w:val="32"/>
        </w:rPr>
        <w:t>统一社会信用代码：</w:t>
      </w:r>
    </w:p>
    <w:p>
      <w:pPr>
        <w:spacing w:line="48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配送方（乙方）：</w:t>
      </w:r>
    </w:p>
    <w:p>
      <w:pPr>
        <w:spacing w:line="48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统一社会信用代码：</w:t>
      </w:r>
    </w:p>
    <w:p>
      <w:pPr>
        <w:spacing w:line="560" w:lineRule="exact"/>
        <w:ind w:firstLine="560" w:firstLineChars="200"/>
        <w:rPr>
          <w:rFonts w:ascii="仿宋" w:hAnsi="仿宋" w:eastAsia="仿宋" w:cs="仿宋"/>
          <w:sz w:val="28"/>
          <w:szCs w:val="28"/>
        </w:rPr>
      </w:pP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根据《中华人民共和国民法典》、《中华人民共和国食品安全法》等相关法律法规的规定，甲、乙双方在平等互利的基础上，就乙方向甲方提供配送农（副）产品食材服务事宜达成一致，特订立本合同。</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bCs/>
          <w:sz w:val="32"/>
          <w:szCs w:val="32"/>
        </w:rPr>
        <w:t>合同期限：</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日止。服务期限届满后，如双方事实上仍有订单产生，则仍按本合同约定执行；双方另有约定除外。</w:t>
      </w:r>
    </w:p>
    <w:p>
      <w:pPr>
        <w:widowControl/>
        <w:shd w:val="clear" w:color="auto" w:fill="FFFFFF"/>
        <w:spacing w:line="580" w:lineRule="exact"/>
        <w:ind w:firstLine="562"/>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二、合同内容：</w:t>
      </w:r>
    </w:p>
    <w:p>
      <w:pPr>
        <w:widowControl/>
        <w:shd w:val="clear" w:color="auto" w:fill="FFFFFF"/>
        <w:spacing w:line="580" w:lineRule="exact"/>
        <w:ind w:firstLine="56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乙方向甲方提供农（副）产品食材配送服务，包括</w:t>
      </w:r>
      <w:r>
        <w:rPr>
          <w:rFonts w:hint="eastAsia" w:ascii="仿宋_GB2312" w:hAnsi="仿宋_GB2312" w:eastAsia="仿宋_GB2312" w:cs="仿宋_GB2312"/>
          <w:bCs/>
          <w:kern w:val="0"/>
          <w:sz w:val="32"/>
          <w:szCs w:val="32"/>
        </w:rPr>
        <w:t>且不限于甲方向乙方采购</w:t>
      </w:r>
      <w:r>
        <w:rPr>
          <w:rFonts w:hint="eastAsia" w:ascii="仿宋_GB2312" w:hAnsi="仿宋_GB2312" w:eastAsia="仿宋_GB2312" w:cs="仿宋_GB2312"/>
          <w:sz w:val="32"/>
          <w:szCs w:val="32"/>
        </w:rPr>
        <w:t>蔬果、鲜肉、干货、家禽、冷冻食材、海鲜、河鲜及豆制品、厨房用品、厨房易耗品等产品。</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三、配送的产品质量保证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（一）配送标准</w:t>
      </w:r>
    </w:p>
    <w:p>
      <w:pPr>
        <w:widowControl/>
        <w:shd w:val="clear" w:color="auto" w:fill="FFFFFF"/>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1.</w:t>
      </w:r>
      <w:r>
        <w:rPr>
          <w:rFonts w:hint="eastAsia" w:ascii="仿宋_GB2312" w:hAnsi="仿宋_GB2312" w:eastAsia="仿宋_GB2312" w:cs="仿宋_GB2312"/>
          <w:sz w:val="32"/>
          <w:szCs w:val="32"/>
        </w:rPr>
        <w:t>蔬果类：蔬菜瓜果类来自大型的“无公害”蔬菜基地，保持良好的色泽和新鲜度，经检测无农药残留物，经过初步整理无泥沙、无黄叶、无虫眼等，符合国家食品卫生标准（蔬菜利用率不低于95%），每批次配送需提供相关的农药残留检测证明。</w:t>
      </w:r>
    </w:p>
    <w:p>
      <w:pPr>
        <w:widowControl/>
        <w:shd w:val="clear" w:color="auto" w:fill="FFFFFF"/>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2.海鲜河鲜类：属鲜活类产品应有氧运输，必须保证鲜活（利用率不低于90%）。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鲜肉类：鲜肉类必须提供广州市检疫部门出具的检疫合格证明，肉类保证来源于正规肉联厂，并保证为当日新鲜肉。色泽：具有固定的正常颜色，肌肉红色均匀，有光泽，脂肪洁白；外表：无泥污、无血迹、放血状况良好，肉边整齐、无破碎肉、无粘液渗出或很干的表皮，无点状等小颗粒白色寄生虫；全味；具有固定的正常气味（猪肉微腥、牛肉微膳、羊肉微膳）无臭味、腊味等异味；弹性：指压后凹陷，能恢复原状（鲜肉类利用率不低于95%）。</w:t>
      </w:r>
    </w:p>
    <w:p>
      <w:pPr>
        <w:widowControl/>
        <w:shd w:val="clear" w:color="auto" w:fill="FFFFFF"/>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4.家禽类：家禽、三鸟类鲜活、洁净、无病害、无注水、肉质鲜嫩、无异味；有市、区检疫部门检验合格证明。</w:t>
      </w:r>
    </w:p>
    <w:p>
      <w:pPr>
        <w:widowControl/>
        <w:shd w:val="clear" w:color="auto" w:fill="FFFFFF"/>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5.冷冻类：冷冻食材产地明确、厂名明确、生产日期、保质期、色泽光亮、无注水、无冰。</w:t>
      </w:r>
    </w:p>
    <w:p>
      <w:pPr>
        <w:widowControl/>
        <w:shd w:val="clear" w:color="auto" w:fill="FFFFFF"/>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干货类：粮油类、副食品、调味品类须为一级以上的优质品、有明确产地、生产商、生产日期、生产地址、有效期、规格型号、QS标志、外包装完整、无杂质；由正规厂家供货，相关证件齐全，并符合国家食品卫生标准，坚决杜绝出售假冒伪劣、变质、过期的产品（送货日期不超过保质期的1/4）。</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7.粮油类：保证新产及符合国家粮油质量标准。</w:t>
      </w:r>
    </w:p>
    <w:p>
      <w:pPr>
        <w:widowControl/>
        <w:shd w:val="clear" w:color="auto" w:fill="FFFFFF"/>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8.豆制品须来源于当地政府许可的正规厂商，相关证件齐全。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（二）上述所有的产品不能出现下列情况之一：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1.腐败变质、油脂酸败、霉变、生虫、污秽不洁、混有异物或者其他感官性状异常，可能对人体健康有害的；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2.含有毒、有害物质或者被有毒、有害物质污染，可能对人体健康有害的；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3.含有致病性寄生虫、微生物的，或者微生物毒素含量超过国家限定标准的；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4.未经兽医卫生检验或者检验不合格的肉类及其制品；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5.病死、毒死或者死因不明的禽、畜、兽、水产动物等及其制品；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6.容器包装污秽不洁、严重破损或者运输工具不洁造成污染的；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7.搀假、搀杂、伪造，影响营养、卫生的；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8.用非食品原料加工的、加入非食品用化学物质的或者将非食品当作食品的；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9.超过保质期限的；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10.为防病特殊需要，国务院卫生行政部门或者省、市人民政府专门规定禁止出售的；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11.含有未经国务院卫生行政部门批准使用的添加剂或者农药残留超过国家规定许可量的；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12.其他不符合食品卫生标准和要求的。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如甲方发生上述事故或者其他食品安全隐患的，应当立即通报乙方。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（三）如果乙方配送的农产品的质量不符合甲方订货要求的，则乙方必须重新采购、并在规定的时间内向甲方重新配送。</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四、配送数量保证及验收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配送的数量应与甲方订货数量相符，上下浮动超过订货数量1%的，甲方有权要求退货和在规定的时间补送，并以甲方的验货数量为准。乙方每次配送货物应提供送货清单供甲方验货后签字确认，送货清单甲、乙双方至少各持一份，作为双方送货凭证和结算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2.产品运至本合同约定交货地点后，甲乙双方即时共同对数量及外观进行验收，经验收合格的，由甲方在送货清单上签字确认。甲方不组织验收，视为货物验收合格。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双方对乙方交付的货物是否符合合同约定有异议的，双方可共同委托具有相应资质的鉴定机构进行鉴定。一方收到对方鉴定要求后3日内未与对方共同委托鉴定机构的，提出鉴定一方有权自行委托鉴定机构进行鉴定。该货物是否符合合同约定以鉴定结论为准。鉴定结论认为乙方交付的货物不符合合同约定的，该货物鉴定所支付的费用由乙方承担。</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五、配送时间保证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向乙方订购农（副）产品必须在送货当天的前一天以电话、传真、微信、或电子邮件等形式下单，订单的内容应清楚说明订购产品的品种、数量、要求、配送时间、送货地点等，乙方必须按甲方的要求送货。</w:t>
      </w:r>
      <w:r>
        <w:rPr>
          <w:rFonts w:hint="eastAsia" w:ascii="仿宋_GB2312" w:hAnsi="仿宋_GB2312" w:eastAsia="仿宋_GB2312" w:cs="仿宋_GB2312"/>
          <w:bCs/>
          <w:kern w:val="0"/>
          <w:sz w:val="32"/>
          <w:szCs w:val="32"/>
        </w:rPr>
        <w:t>乙方接到订单后进行核对，如有非常规的食堂物资应及时与甲方沟通。乙方接到订单后3小时内未提出异议的，则视为接受订单。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2.乙方保证按照甲方要求的时间前将甲方所订产品送至甲方指定的地点，由甲方指定收货联系人收货。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应保证派专人负责全天候跟踪服务，如出现甲方临时有客餐任务或临时增加用餐人数的情况，甲方应提前3小时通知乙方，乙方需及时响应、快速将货物配送到甲方指定的地点，保证甲方正常操作、准时开餐。</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六、产品价格</w:t>
      </w:r>
    </w:p>
    <w:p>
      <w:pPr>
        <w:widowControl/>
        <w:shd w:val="clear" w:color="auto" w:fill="FFFFFF"/>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乙方报价必须保证价格公平、合理，双方价格有异议时可通过友好协商、市场调查予以确定，从兼顾双方利益，保证双方能长期合作的原则予以解决。</w:t>
      </w:r>
    </w:p>
    <w:p>
      <w:pPr>
        <w:widowControl/>
        <w:numPr>
          <w:ilvl w:val="255"/>
          <w:numId w:val="0"/>
        </w:numPr>
        <w:shd w:val="clear" w:color="auto" w:fill="FFFFFF"/>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1.乙方每月</w:t>
      </w:r>
      <w:r>
        <w:rPr>
          <w:rFonts w:ascii="仿宋_GB2312" w:hAnsi="仿宋_GB2312" w:eastAsia="仿宋_GB2312" w:cs="仿宋_GB2312"/>
          <w:bCs/>
          <w:kern w:val="0"/>
          <w:sz w:val="32"/>
          <w:szCs w:val="32"/>
          <w:u w:val="single"/>
        </w:rPr>
        <w:t>的1日、16日</w:t>
      </w:r>
      <w:r>
        <w:rPr>
          <w:rFonts w:hint="eastAsia" w:ascii="仿宋_GB2312" w:hAnsi="仿宋_GB2312" w:eastAsia="仿宋_GB2312" w:cs="仿宋_GB2312"/>
          <w:bCs/>
          <w:kern w:val="0"/>
          <w:sz w:val="32"/>
          <w:szCs w:val="32"/>
        </w:rPr>
        <w:t>向甲方报价一次，经双方协商确认后执行。所有配送食材的价格均以广州市发展与改革委员会中广州菜篮子价格（https://121.8.226.252/basic/sendReportInfoes）公布的价格为基准。若广州市菜篮子价格中没有或近期没有的个别物品，则双方参考周边市场零售价协商确定基准价。</w:t>
      </w:r>
    </w:p>
    <w:p>
      <w:pPr>
        <w:widowControl/>
        <w:numPr>
          <w:ilvl w:val="255"/>
          <w:numId w:val="0"/>
        </w:numPr>
        <w:shd w:val="clear" w:color="auto" w:fill="FFFFFF"/>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2.每个产品单价（小数点后保留两位小数）＝基准价 ×（1 -中标下浮率）</w:t>
      </w:r>
    </w:p>
    <w:p>
      <w:pPr>
        <w:widowControl/>
        <w:numPr>
          <w:ilvl w:val="255"/>
          <w:numId w:val="0"/>
        </w:numPr>
        <w:shd w:val="clear" w:color="auto" w:fill="FFFFFF"/>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3.如遇台风、暴雨等自然灾害及市场产品缺货造成的食堂物资价格上涨幅度过大，乙方需要调整价格的，乙方应以书面形式通知甲方调整价格，经甲方同意确认后执行。</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七、售后服务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1.乙方为甲方提供1名送货专员，并根据配送工作量的需要适时适当调配人员，保证每天准时送达货物。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2.乙方在配送过程中，设置专门渠道，实行“一对一”服务，并有专人回访跟进，听取甲方对乙方工作的意见和建议，并及时回复和解决。</w:t>
      </w:r>
    </w:p>
    <w:p>
      <w:pPr>
        <w:pStyle w:val="21"/>
        <w:ind w:firstLine="640" w:firstLineChars="200"/>
        <w:rPr>
          <w:rFonts w:eastAsia="仿宋_GB2312"/>
        </w:rPr>
      </w:pPr>
      <w:r>
        <w:rPr>
          <w:rFonts w:hint="eastAsia" w:ascii="仿宋_GB2312" w:hAnsi="仿宋_GB2312" w:eastAsia="仿宋_GB2312" w:cs="仿宋_GB2312"/>
          <w:sz w:val="32"/>
          <w:szCs w:val="32"/>
        </w:rPr>
        <w:t>3.有相应的售后服务以及应急保障方案，非甲方的人为原因而出现的质量问题，由乙方负责包换或包退，并承担因此而产生的一切费用。</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八、结算方式</w:t>
      </w:r>
    </w:p>
    <w:p>
      <w:pPr>
        <w:widowControl/>
        <w:spacing w:line="50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按月实结：（1）每月10日前双方就上月的订单和服务进行对账，乙方应根据每月配送结算的供货报价、送货清单和产品验收情况等向甲方提供结算单，对账无误后乙方向甲方开具增值税专用发票或免税发票。（2）甲方收到发票后，应在15日内（含15日）以公户转账的方式向乙方付清实销货款、服务费用（含税价），遇法定节假日顺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乙方指定以下银行账户为收款专用账户：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开户行：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存折/卡号：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甲方要求开具增值税专票或零税率的发票，信息如下：</w:t>
      </w:r>
    </w:p>
    <w:p>
      <w:pPr>
        <w:wordWrap w:val="0"/>
        <w:topLinePunct/>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单位名称：广州市白云城市开发投资集团有限公司</w:t>
      </w:r>
    </w:p>
    <w:p>
      <w:pPr>
        <w:wordWrap w:val="0"/>
        <w:topLinePunct/>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纳税人识别号：</w:t>
      </w:r>
    </w:p>
    <w:p>
      <w:pPr>
        <w:wordWrap w:val="0"/>
        <w:topLinePunct/>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wordWrap w:val="0"/>
        <w:topLinePunct/>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p>
      <w:pPr>
        <w:wordWrap w:val="0"/>
        <w:topLinePunct/>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开户行：</w:t>
      </w:r>
    </w:p>
    <w:p>
      <w:pPr>
        <w:wordWrap w:val="0"/>
        <w:topLinePunct/>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p>
    <w:p>
      <w:pPr>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九、甲方权利与义务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1.甲方有权对乙方所配送食堂物资在交货地点按照约定的质量标准进行检查和验收，对不符合验收标准的，有权要求乙方进行更换或退货。</w:t>
      </w:r>
    </w:p>
    <w:p>
      <w:pPr>
        <w:widowControl/>
        <w:shd w:val="clear" w:color="auto" w:fill="FFFFFF"/>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2.甲方对乙方食堂物资配送服务有意见，可要求乙方改进，乙方有义务和责任及时予以改进，改进无效的甲方有权随时单方解除合同而不承担任何责任。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3.对客观不可抗力因素造成的配送延误，甲方有义务配合乙方进行共同解决。</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4.甲方按合同约定向乙方支付食堂物资款。</w:t>
      </w:r>
    </w:p>
    <w:p>
      <w:pPr>
        <w:spacing w:line="58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sz w:val="32"/>
          <w:szCs w:val="32"/>
        </w:rPr>
        <w:t>5.甲方</w:t>
      </w:r>
      <w:r>
        <w:rPr>
          <w:rFonts w:hint="eastAsia" w:ascii="仿宋_GB2312" w:hAnsi="仿宋_GB2312" w:eastAsia="仿宋_GB2312" w:cs="仿宋_GB2312"/>
          <w:bCs/>
          <w:kern w:val="0"/>
          <w:sz w:val="32"/>
          <w:szCs w:val="32"/>
        </w:rPr>
        <w:t>不得无故刁难乙方配送人员，不得变相加单、补货、换货或无正当理由拒收食堂物资。如有此类情况乙方应立即向甲方负责人汇报，经核查情况属实，甲方应明确回复乙方并赔偿乙方经济损失。</w:t>
      </w:r>
    </w:p>
    <w:p>
      <w:pPr>
        <w:widowControl/>
        <w:shd w:val="clear" w:color="auto" w:fill="FFFFFF"/>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甲方所签收食堂物资如因质量不合格须退换货的，甲方须及时通知乙方，青菜瓜果鲜肉当天通知并按规定存放；干货调味品3天内通知乙方，乙方派客服人员上门核实并换回相关产品。如因甲方不按规定存放、人为因素、严重超出保质时间导致产品质量不合格，乙方有权拒绝甲方退换货要求。</w:t>
      </w:r>
    </w:p>
    <w:p>
      <w:pPr>
        <w:widowControl/>
        <w:shd w:val="clear" w:color="auto" w:fill="FFFFFF"/>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7.因遇不可抗力因素时，甲方有权终止合同。</w:t>
      </w:r>
    </w:p>
    <w:p>
      <w:pPr>
        <w:pStyle w:val="152"/>
        <w:spacing w:line="580" w:lineRule="exact"/>
        <w:ind w:left="640" w:firstLine="0" w:firstLineChars="0"/>
        <w:rPr>
          <w:rFonts w:ascii="仿宋_GB2312" w:hAnsi="仿宋_GB2312" w:eastAsia="仿宋_GB2312" w:cs="仿宋_GB2312"/>
          <w:b/>
          <w:sz w:val="32"/>
          <w:szCs w:val="32"/>
        </w:rPr>
      </w:pPr>
      <w:r>
        <w:rPr>
          <w:rFonts w:hint="eastAsia" w:ascii="仿宋_GB2312" w:hAnsi="仿宋_GB2312" w:eastAsia="仿宋_GB2312" w:cs="仿宋_GB2312"/>
          <w:b/>
          <w:sz w:val="32"/>
          <w:szCs w:val="32"/>
          <w:lang w:val="en-US"/>
        </w:rPr>
        <w:t>十</w:t>
      </w:r>
      <w:r>
        <w:rPr>
          <w:rFonts w:hint="eastAsia" w:ascii="仿宋_GB2312" w:hAnsi="仿宋_GB2312" w:eastAsia="仿宋_GB2312" w:cs="仿宋_GB2312"/>
          <w:b/>
          <w:sz w:val="32"/>
          <w:szCs w:val="32"/>
        </w:rPr>
        <w:t>、乙方权利和义务</w:t>
      </w:r>
    </w:p>
    <w:p>
      <w:pPr>
        <w:widowControl/>
        <w:shd w:val="clear" w:color="auto" w:fill="FFFFFF"/>
        <w:spacing w:line="580" w:lineRule="exact"/>
        <w:ind w:firstLine="64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1.乙方保证在加工、运送进行全过程的监控，保证送货过程中不受二次污染，建立每日采购登记制度，保证农副产品采购，从来源产地、生产厂家、包装及运送的全过程有质量检验记录。</w:t>
      </w:r>
    </w:p>
    <w:p>
      <w:pPr>
        <w:widowControl/>
        <w:shd w:val="clear" w:color="auto" w:fill="FFFFFF"/>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2.乙方保证向甲方供应食堂物资为协商价格内的优质产品，不以次充好。确保所供应食堂物资的品质安全，同时保证食堂物资来源的合法性和可追溯性。</w:t>
      </w:r>
    </w:p>
    <w:p>
      <w:pPr>
        <w:widowControl/>
        <w:shd w:val="clear" w:color="auto" w:fill="FFFFFF"/>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3.乙方须保证重量的准确性，实收数量以甲方的验货合格数量为准。</w:t>
      </w:r>
    </w:p>
    <w:p>
      <w:pPr>
        <w:widowControl/>
        <w:shd w:val="clear" w:color="auto" w:fill="FFFFFF"/>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4.乙方必须保证在甲方规定的时间内按质按量准时供货。对客观不可抗力因素造成的配送延误，必须及时知会甲方，并积极配合甲方进行共同解决。</w:t>
      </w:r>
    </w:p>
    <w:p>
      <w:pPr>
        <w:widowControl/>
        <w:shd w:val="clear" w:color="auto" w:fill="FFFFFF"/>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5.乙方必须保证货源充足，如遇市场某一食堂物资短缺而确实无法满足甲方需求时，乙方必须在甲方下达订单的当天晚上知会甲方，在征得甲方同意的前提下进行相应的品种调整或商讨其他解决方案。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6.乙方在送货上门时，必须遵守甲方或甲方客户的规章制度，不得随意走动或大声喧哗。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7.乙方针对甲方制订《老人营养膳食咨询服务方案》并配备不少于一名营养师挂点指导采购人开展日常老人营养膳食搭配工作，参与对甲方膳食服务建设。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8.乙方有权拒绝甲方超出合同范围或有悖政策法规的要求。</w:t>
      </w:r>
    </w:p>
    <w:p>
      <w:pPr>
        <w:widowControl/>
        <w:shd w:val="clear" w:color="auto" w:fill="FFFFFF"/>
        <w:spacing w:line="58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十一、违约责任</w:t>
      </w:r>
    </w:p>
    <w:p>
      <w:pPr>
        <w:widowControl/>
        <w:shd w:val="clear" w:color="auto" w:fill="FFFFFF"/>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1.乙方应按合同约定时间将食堂物资足额足量送到甲方指定地点，若迟延15-20分钟的，甲方有权口头警告乙方。一个月内迟延超过3次的（包含本数），乙方应按</w:t>
      </w:r>
      <w:r>
        <w:rPr>
          <w:rFonts w:hint="eastAsia" w:ascii="仿宋_GB2312" w:hAnsi="仿宋_GB2312" w:eastAsia="仿宋_GB2312" w:cs="仿宋_GB2312"/>
          <w:bCs/>
          <w:kern w:val="0"/>
          <w:sz w:val="32"/>
          <w:szCs w:val="32"/>
          <w:u w:val="single"/>
        </w:rPr>
        <w:t>50</w:t>
      </w:r>
      <w:r>
        <w:rPr>
          <w:rFonts w:hint="eastAsia" w:ascii="仿宋_GB2312" w:hAnsi="仿宋_GB2312" w:eastAsia="仿宋_GB2312" w:cs="仿宋_GB2312"/>
          <w:bCs/>
          <w:kern w:val="0"/>
          <w:sz w:val="32"/>
          <w:szCs w:val="32"/>
        </w:rPr>
        <w:t>元/次向甲方支付违约金；若迟延21-45分钟的，甲方有权向乙方提出书面警告，乙方应按</w:t>
      </w:r>
      <w:r>
        <w:rPr>
          <w:rFonts w:hint="eastAsia" w:ascii="仿宋_GB2312" w:hAnsi="仿宋_GB2312" w:eastAsia="仿宋_GB2312" w:cs="仿宋_GB2312"/>
          <w:bCs/>
          <w:kern w:val="0"/>
          <w:sz w:val="32"/>
          <w:szCs w:val="32"/>
          <w:u w:val="single"/>
        </w:rPr>
        <w:t>100</w:t>
      </w:r>
      <w:r>
        <w:rPr>
          <w:rFonts w:hint="eastAsia" w:ascii="仿宋_GB2312" w:hAnsi="仿宋_GB2312" w:eastAsia="仿宋_GB2312" w:cs="仿宋_GB2312"/>
          <w:bCs/>
          <w:kern w:val="0"/>
          <w:sz w:val="32"/>
          <w:szCs w:val="32"/>
        </w:rPr>
        <w:t>元/次向甲方支付违约金。</w:t>
      </w:r>
    </w:p>
    <w:p>
      <w:pPr>
        <w:widowControl/>
        <w:shd w:val="clear" w:color="auto" w:fill="FFFFFF"/>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（注：对于上述乙方应支付的违约金，乙方同意甲方在当期结算时从甲方应支付给乙方的款项中直接扣除。）</w:t>
      </w:r>
    </w:p>
    <w:p>
      <w:pPr>
        <w:widowControl/>
        <w:numPr>
          <w:ilvl w:val="255"/>
          <w:numId w:val="0"/>
        </w:numPr>
        <w:shd w:val="clear" w:color="auto" w:fill="FFFFFF"/>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乙方应保证其配送的所有产品均符合甲方的标准，对于货不对板、不符合质量要求或不能提供相关检测证明的产品以及出现质量问题，甲方有权要求退货或换货。对于因乙方供应货物质量达不到卫生标准而造成人员食物中毒等食品安全事故的(经相关国家卫生防疫部门鉴定)，甲方有权单方解除本合同，同时乙方应承担全部法律责任及民事赔偿责任，并赔偿由此给甲方带来的经济损失。</w:t>
      </w:r>
    </w:p>
    <w:p>
      <w:pPr>
        <w:widowControl/>
        <w:numPr>
          <w:ilvl w:val="255"/>
          <w:numId w:val="0"/>
        </w:numPr>
        <w:shd w:val="clear" w:color="auto" w:fill="FFFFFF"/>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3.乙方配送的食堂物资数量不符甲方订单要求，甲方有权要求乙方立即补充配送，并按照第十点第1款执行。</w:t>
      </w:r>
    </w:p>
    <w:p>
      <w:pPr>
        <w:wordWrap w:val="0"/>
        <w:topLinePunct/>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4.甲方需按合同约定时间向乙方支付食堂物资款或服务费款项，经催告后，每延期一天的，须按应付款项的</w:t>
      </w:r>
      <w:r>
        <w:rPr>
          <w:rFonts w:hint="eastAsia" w:ascii="仿宋_GB2312" w:hAnsi="仿宋_GB2312" w:eastAsia="仿宋_GB2312" w:cs="仿宋_GB2312"/>
          <w:bCs/>
          <w:kern w:val="0"/>
          <w:sz w:val="32"/>
          <w:szCs w:val="32"/>
          <w:u w:val="single"/>
        </w:rPr>
        <w:t>万分之五</w:t>
      </w:r>
      <w:r>
        <w:rPr>
          <w:rFonts w:hint="eastAsia" w:ascii="仿宋_GB2312" w:hAnsi="仿宋_GB2312" w:eastAsia="仿宋_GB2312" w:cs="仿宋_GB2312"/>
          <w:bCs/>
          <w:kern w:val="0"/>
          <w:sz w:val="32"/>
          <w:szCs w:val="32"/>
        </w:rPr>
        <w:t>计算及支付违约金。</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十二、其他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1.本合同所指不可抗力包括地震、火灾、水灾、台风、罢工、暴动、瘟疫、战争、政府行政行为或其他非双方所能预见、控制或避免的事件。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2.乙方必须保证其拥有合法有效的配送农产品经营资质，并取得相关合法有效的证件，保证其上岗操作的从业人员具备有效的健康、培训证明等，若乙方未能提供上述资质、证明等的，甲方有权单方解除本合同。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3.乙方在送货上门时，必须遵守甲方的规章制度，不得随意走动或高声喧哗。</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甲、乙双方应以本合同载明的或日后依法变更的各自联系地址作为各方有效的联系方式之一。如果任何一方的上述联系方式有变更或停止使用、不能正常使用等，应当在出现该情形之日起三日内书面通知另一方，并向另一方提供新的有效联系方式，否则视为本合同载明的联系方式仍然有效，合同当事人据此地址邮寄或配送的物品、文件等，均视为有效送达。送达的扫描件与原件具有同等效力。当面交付文件的，在交付之时为送达；以邮寄方式的，挂号寄出或者投邮当日视为送达；以电子方式送达的，发出之日为有效送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5.本合同未尽事宜需要变更或解除本合同的，甲、乙双方可以共同协商，协商一致的可以变更、解除本合同。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6.甲、乙双方因履行合同所产生的一切争议，可由双方协商解决。如协商不成的，可向甲方所在地人民法院起诉。违约方应当承担争议双方因处理该争议而支出的法院诉讼费和律师费等所有合理费用。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7.本合同一式肆份，双方各执贰份；如经甲、乙双方协商一致另行订立的补充条款经双方签署后，与本合同具有同等法律效力。本合同自双方代表签字并盖章之日起生效。</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（以下无正文，为签署页）</w:t>
      </w:r>
    </w:p>
    <w:p>
      <w:pPr>
        <w:spacing w:line="560" w:lineRule="exact"/>
        <w:rPr>
          <w:rFonts w:ascii="仿宋_GB2312" w:hAnsi="仿宋_GB2312" w:eastAsia="仿宋_GB2312" w:cs="仿宋_GB2312"/>
          <w:bCs/>
          <w:sz w:val="32"/>
          <w:szCs w:val="32"/>
        </w:rPr>
      </w:pPr>
      <w:r>
        <w:rPr>
          <w:rFonts w:hint="eastAsia" w:ascii="仿宋_GB2312" w:hAnsi="仿宋_GB2312" w:eastAsia="仿宋_GB2312" w:cs="仿宋_GB2312"/>
          <w:sz w:val="32"/>
          <w:szCs w:val="32"/>
        </w:rPr>
        <w:t>（采购方）甲方：              （配送方）</w:t>
      </w:r>
      <w:r>
        <w:rPr>
          <w:rFonts w:hint="eastAsia" w:ascii="仿宋_GB2312" w:hAnsi="仿宋_GB2312" w:eastAsia="仿宋_GB2312" w:cs="仿宋_GB2312"/>
          <w:bCs/>
          <w:sz w:val="32"/>
          <w:szCs w:val="32"/>
        </w:rPr>
        <w:t>乙方：</w:t>
      </w:r>
    </w:p>
    <w:p>
      <w:pPr>
        <w:spacing w:line="480" w:lineRule="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广州市白云城市开发投资集团有限公司   </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法人或授权代表：               法人或授权代表：</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经办人：                       经办人:</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                      联系地址:</w:t>
      </w:r>
    </w:p>
    <w:p>
      <w:pPr>
        <w:spacing w:line="480" w:lineRule="auto"/>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                      联系电话:</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签约日期:   年   月   日       签约日期:    年    月  日</w:t>
      </w:r>
    </w:p>
    <w:p>
      <w:pPr>
        <w:widowControl/>
        <w:spacing w:line="360" w:lineRule="auto"/>
        <w:jc w:val="center"/>
        <w:outlineLvl w:val="0"/>
        <w:rPr>
          <w:b/>
          <w:bCs/>
          <w:sz w:val="28"/>
          <w:szCs w:val="28"/>
        </w:rPr>
      </w:pPr>
      <w:bookmarkStart w:id="57" w:name="_Toc10394"/>
      <w:r>
        <w:rPr>
          <w:rFonts w:hint="eastAsia"/>
          <w:b/>
          <w:bCs/>
          <w:sz w:val="28"/>
          <w:szCs w:val="28"/>
        </w:rPr>
        <w:t>第六章  投标文件格式</w:t>
      </w:r>
      <w:bookmarkEnd w:id="54"/>
      <w:bookmarkEnd w:id="55"/>
      <w:bookmarkEnd w:id="56"/>
      <w:bookmarkEnd w:id="57"/>
    </w:p>
    <w:p>
      <w:pPr>
        <w:tabs>
          <w:tab w:val="left" w:pos="426"/>
        </w:tabs>
        <w:autoSpaceDE w:val="0"/>
        <w:autoSpaceDN w:val="0"/>
        <w:adjustRightInd w:val="0"/>
        <w:spacing w:line="360" w:lineRule="auto"/>
        <w:jc w:val="center"/>
        <w:outlineLvl w:val="3"/>
        <w:rPr>
          <w:rFonts w:ascii="黑体" w:hAnsi="黑体" w:eastAsia="黑体"/>
          <w:sz w:val="32"/>
          <w:szCs w:val="32"/>
        </w:rPr>
      </w:pPr>
      <w:bookmarkStart w:id="58" w:name="_Toc435515292"/>
      <w:bookmarkStart w:id="59" w:name="_Toc435514852"/>
      <w:r>
        <w:rPr>
          <w:rFonts w:hint="eastAsia" w:ascii="黑体" w:hAnsi="黑体" w:eastAsia="黑体"/>
          <w:sz w:val="32"/>
          <w:szCs w:val="32"/>
        </w:rPr>
        <w:t>投标文件包装封面参考</w:t>
      </w:r>
      <w:bookmarkEnd w:id="58"/>
      <w:bookmarkEnd w:id="59"/>
    </w:p>
    <w:tbl>
      <w:tblPr>
        <w:tblStyle w:val="55"/>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jc w:val="center"/>
        </w:trPr>
        <w:tc>
          <w:tcPr>
            <w:tcW w:w="9018" w:type="dxa"/>
          </w:tcPr>
          <w:p>
            <w:pPr>
              <w:pStyle w:val="21"/>
              <w:spacing w:line="360" w:lineRule="auto"/>
              <w:ind w:firstLine="482" w:firstLineChars="150"/>
              <w:rPr>
                <w:rFonts w:ascii="仿宋_GB2312" w:eastAsia="仿宋_GB2312"/>
                <w:b/>
                <w:sz w:val="32"/>
              </w:rPr>
            </w:pPr>
          </w:p>
          <w:p>
            <w:pPr>
              <w:pStyle w:val="21"/>
              <w:spacing w:line="360" w:lineRule="auto"/>
              <w:ind w:firstLine="482" w:firstLineChars="150"/>
              <w:rPr>
                <w:rFonts w:ascii="仿宋_GB2312" w:eastAsia="仿宋_GB2312"/>
                <w:b/>
                <w:sz w:val="32"/>
              </w:rPr>
            </w:pPr>
          </w:p>
          <w:p>
            <w:pPr>
              <w:pStyle w:val="21"/>
              <w:spacing w:line="360" w:lineRule="auto"/>
              <w:ind w:firstLine="482" w:firstLineChars="150"/>
              <w:rPr>
                <w:rFonts w:ascii="仿宋_GB2312" w:eastAsia="仿宋_GB2312"/>
                <w:b/>
                <w:sz w:val="32"/>
              </w:rPr>
            </w:pPr>
          </w:p>
          <w:p>
            <w:pPr>
              <w:pStyle w:val="21"/>
              <w:spacing w:line="360" w:lineRule="auto"/>
              <w:jc w:val="center"/>
              <w:rPr>
                <w:rFonts w:ascii="黑体" w:eastAsia="黑体"/>
                <w:b/>
                <w:sz w:val="72"/>
                <w:szCs w:val="72"/>
              </w:rPr>
            </w:pPr>
            <w:r>
              <w:rPr>
                <w:rFonts w:hint="eastAsia" w:ascii="黑体" w:eastAsia="黑体"/>
                <w:b/>
                <w:sz w:val="72"/>
                <w:szCs w:val="72"/>
              </w:rPr>
              <w:t>投 标 文 件</w:t>
            </w:r>
          </w:p>
          <w:p>
            <w:pPr>
              <w:pStyle w:val="21"/>
              <w:spacing w:line="360" w:lineRule="auto"/>
              <w:ind w:firstLine="3385" w:firstLineChars="651"/>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pStyle w:val="21"/>
              <w:spacing w:line="360" w:lineRule="auto"/>
              <w:ind w:firstLine="3385" w:firstLineChars="651"/>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21"/>
              <w:spacing w:line="360" w:lineRule="auto"/>
              <w:ind w:firstLine="3385" w:firstLineChars="651"/>
              <w:rPr>
                <w:rFonts w:ascii="黑体" w:eastAsia="黑体"/>
                <w:sz w:val="32"/>
              </w:rPr>
            </w:pPr>
            <w:r>
              <w:rPr>
                <w:rFonts w:hint="eastAsia" w:ascii="黑体" w:eastAsia="黑体"/>
                <w:sz w:val="52"/>
                <w:szCs w:val="52"/>
              </w:rPr>
              <w:t xml:space="preserve">口 </w:t>
            </w:r>
            <w:r>
              <w:rPr>
                <w:rFonts w:hint="eastAsia" w:ascii="黑体" w:eastAsia="黑体"/>
                <w:sz w:val="32"/>
              </w:rPr>
              <w:t>单独密封资料</w:t>
            </w:r>
          </w:p>
          <w:p>
            <w:pPr>
              <w:pStyle w:val="21"/>
              <w:spacing w:line="360" w:lineRule="auto"/>
              <w:ind w:firstLine="2091" w:firstLineChars="651"/>
              <w:rPr>
                <w:rFonts w:ascii="黑体" w:eastAsia="黑体"/>
                <w:b/>
                <w:sz w:val="32"/>
              </w:rPr>
            </w:pPr>
          </w:p>
          <w:p>
            <w:pPr>
              <w:pStyle w:val="21"/>
              <w:spacing w:line="360" w:lineRule="auto"/>
              <w:rPr>
                <w:rFonts w:ascii="仿宋_GB2312" w:eastAsia="仿宋_GB2312"/>
                <w:b/>
                <w:sz w:val="32"/>
              </w:rPr>
            </w:pPr>
          </w:p>
          <w:p>
            <w:pPr>
              <w:pStyle w:val="21"/>
              <w:spacing w:line="400" w:lineRule="exact"/>
              <w:ind w:firstLine="896" w:firstLineChars="320"/>
              <w:rPr>
                <w:rFonts w:ascii="黑体" w:hAnsi="黑体" w:eastAsia="黑体"/>
                <w:sz w:val="28"/>
                <w:szCs w:val="28"/>
              </w:rPr>
            </w:pPr>
            <w:r>
              <w:rPr>
                <w:rFonts w:hint="eastAsia" w:ascii="黑体" w:hAnsi="黑体" w:eastAsia="黑体"/>
                <w:sz w:val="28"/>
                <w:szCs w:val="28"/>
              </w:rPr>
              <w:t>项目编号：BYJSCG-23-0005</w:t>
            </w:r>
          </w:p>
          <w:p>
            <w:pPr>
              <w:pStyle w:val="21"/>
              <w:spacing w:line="400" w:lineRule="exact"/>
              <w:ind w:left="838" w:leftChars="399" w:firstLine="56" w:firstLineChars="20"/>
              <w:rPr>
                <w:rFonts w:ascii="黑体" w:hAnsi="黑体" w:eastAsia="黑体"/>
                <w:sz w:val="28"/>
                <w:szCs w:val="28"/>
              </w:rPr>
            </w:pPr>
            <w:r>
              <w:rPr>
                <w:rFonts w:hint="eastAsia" w:ascii="黑体" w:hAnsi="黑体" w:eastAsia="黑体"/>
                <w:sz w:val="28"/>
                <w:szCs w:val="28"/>
              </w:rPr>
              <w:t>项目名称：广州市白云城市开发投资集团有限公司2023年9月</w:t>
            </w:r>
          </w:p>
          <w:p>
            <w:pPr>
              <w:pStyle w:val="21"/>
              <w:spacing w:line="400" w:lineRule="exact"/>
              <w:ind w:left="838" w:leftChars="399" w:firstLine="1453" w:firstLineChars="519"/>
              <w:rPr>
                <w:rFonts w:ascii="黑体" w:hAnsi="黑体" w:eastAsia="黑体"/>
                <w:sz w:val="28"/>
                <w:szCs w:val="28"/>
              </w:rPr>
            </w:pPr>
            <w:r>
              <w:rPr>
                <w:rFonts w:hint="eastAsia" w:ascii="黑体" w:hAnsi="黑体" w:eastAsia="黑体"/>
                <w:sz w:val="28"/>
                <w:szCs w:val="28"/>
              </w:rPr>
              <w:t>至2024年8月食材配送服务项目</w:t>
            </w:r>
          </w:p>
          <w:p>
            <w:pPr>
              <w:pStyle w:val="21"/>
              <w:spacing w:line="400" w:lineRule="exact"/>
              <w:ind w:firstLine="896" w:firstLineChars="320"/>
              <w:rPr>
                <w:rFonts w:ascii="黑体" w:hAnsi="黑体" w:eastAsia="黑体"/>
                <w:sz w:val="28"/>
                <w:szCs w:val="28"/>
              </w:rPr>
            </w:pPr>
            <w:r>
              <w:rPr>
                <w:rFonts w:hint="eastAsia" w:ascii="黑体" w:hAnsi="黑体" w:eastAsia="黑体"/>
                <w:sz w:val="28"/>
                <w:szCs w:val="28"/>
              </w:rPr>
              <w:t>投标人名称：</w:t>
            </w:r>
          </w:p>
          <w:p>
            <w:pPr>
              <w:pStyle w:val="21"/>
              <w:spacing w:line="400" w:lineRule="exact"/>
              <w:ind w:firstLine="896" w:firstLineChars="320"/>
              <w:rPr>
                <w:rFonts w:ascii="黑体" w:hAnsi="黑体" w:eastAsia="黑体"/>
                <w:sz w:val="28"/>
                <w:szCs w:val="28"/>
              </w:rPr>
            </w:pPr>
            <w:r>
              <w:rPr>
                <w:rFonts w:hint="eastAsia" w:ascii="黑体" w:hAnsi="黑体" w:eastAsia="黑体"/>
                <w:sz w:val="28"/>
                <w:szCs w:val="28"/>
              </w:rPr>
              <w:t>投标人地址：</w:t>
            </w:r>
          </w:p>
          <w:p>
            <w:pPr>
              <w:pStyle w:val="21"/>
              <w:spacing w:line="400" w:lineRule="exact"/>
              <w:ind w:firstLine="1028" w:firstLineChars="320"/>
              <w:rPr>
                <w:rFonts w:ascii="仿宋_GB2312" w:eastAsia="仿宋_GB2312"/>
                <w:b/>
                <w:sz w:val="32"/>
              </w:rPr>
            </w:pPr>
          </w:p>
        </w:tc>
      </w:tr>
    </w:tbl>
    <w:p>
      <w:pPr>
        <w:tabs>
          <w:tab w:val="left" w:pos="426"/>
        </w:tabs>
        <w:autoSpaceDE w:val="0"/>
        <w:autoSpaceDN w:val="0"/>
        <w:adjustRightInd w:val="0"/>
        <w:spacing w:line="360" w:lineRule="auto"/>
        <w:ind w:left="505"/>
        <w:jc w:val="center"/>
        <w:outlineLvl w:val="3"/>
        <w:rPr>
          <w:rFonts w:ascii="黑体" w:hAnsi="黑体" w:eastAsia="黑体"/>
          <w:sz w:val="32"/>
          <w:szCs w:val="32"/>
        </w:rPr>
      </w:pPr>
      <w:r>
        <w:rPr>
          <w:rFonts w:ascii="黑体"/>
          <w:bCs/>
          <w:sz w:val="28"/>
        </w:rPr>
        <w:br w:type="page"/>
      </w:r>
      <w:r>
        <w:rPr>
          <w:rFonts w:hint="eastAsia" w:ascii="黑体" w:hAnsi="黑体" w:eastAsia="黑体"/>
          <w:sz w:val="32"/>
          <w:szCs w:val="32"/>
        </w:rPr>
        <w:t>投标文件目录表</w:t>
      </w:r>
    </w:p>
    <w:p>
      <w:pPr>
        <w:pStyle w:val="101"/>
        <w:numPr>
          <w:ilvl w:val="0"/>
          <w:numId w:val="40"/>
        </w:numPr>
        <w:adjustRightInd w:val="0"/>
        <w:snapToGrid w:val="0"/>
        <w:spacing w:line="360" w:lineRule="auto"/>
        <w:ind w:firstLineChars="0"/>
        <w:rPr>
          <w:rFonts w:ascii="宋体" w:hAnsi="宋体"/>
          <w:b/>
          <w:sz w:val="24"/>
        </w:rPr>
      </w:pPr>
      <w:r>
        <w:rPr>
          <w:rFonts w:hint="eastAsia" w:ascii="宋体" w:hAnsi="宋体"/>
          <w:b/>
          <w:sz w:val="24"/>
        </w:rPr>
        <w:t>相关说明：</w:t>
      </w:r>
    </w:p>
    <w:p>
      <w:pPr>
        <w:pStyle w:val="101"/>
        <w:numPr>
          <w:ilvl w:val="0"/>
          <w:numId w:val="41"/>
        </w:numPr>
        <w:adjustRightInd w:val="0"/>
        <w:snapToGrid w:val="0"/>
        <w:spacing w:line="360" w:lineRule="auto"/>
        <w:ind w:firstLineChars="0"/>
        <w:rPr>
          <w:rFonts w:ascii="宋体" w:hAnsi="宋体"/>
          <w:sz w:val="24"/>
        </w:rPr>
      </w:pPr>
      <w:r>
        <w:rPr>
          <w:rFonts w:hint="eastAsia" w:ascii="宋体" w:hAnsi="宋体"/>
          <w:sz w:val="24"/>
        </w:rPr>
        <w:t>投标文件包括但不限于以下组成内容，请按顺序制作。</w:t>
      </w:r>
    </w:p>
    <w:p>
      <w:pPr>
        <w:pStyle w:val="101"/>
        <w:numPr>
          <w:ilvl w:val="0"/>
          <w:numId w:val="41"/>
        </w:numPr>
        <w:adjustRightInd w:val="0"/>
        <w:snapToGrid w:val="0"/>
        <w:spacing w:line="360" w:lineRule="auto"/>
        <w:ind w:firstLineChars="0"/>
        <w:rPr>
          <w:rFonts w:ascii="宋体" w:hAnsi="宋体"/>
          <w:sz w:val="24"/>
        </w:rPr>
      </w:pPr>
      <w:r>
        <w:rPr>
          <w:rFonts w:hint="eastAsia" w:ascii="宋体" w:hAnsi="宋体"/>
          <w:sz w:val="24"/>
        </w:rPr>
        <w:t>投标人编制投标文件中的项目编号BYJSCG-23-0005。</w:t>
      </w:r>
    </w:p>
    <w:p>
      <w:pPr>
        <w:pStyle w:val="101"/>
        <w:widowControl/>
        <w:numPr>
          <w:ilvl w:val="0"/>
          <w:numId w:val="41"/>
        </w:numPr>
        <w:spacing w:line="360" w:lineRule="auto"/>
        <w:ind w:firstLineChars="0"/>
        <w:jc w:val="left"/>
        <w:rPr>
          <w:rFonts w:ascii="宋体" w:hAnsi="宋体"/>
          <w:sz w:val="24"/>
        </w:rPr>
      </w:pPr>
      <w:r>
        <w:rPr>
          <w:rFonts w:hint="eastAsia" w:ascii="宋体" w:hAnsi="宋体"/>
          <w:sz w:val="24"/>
        </w:rPr>
        <w:t>投标人按照《资格性审查表》的评审内容的要求如实提供证明材料。</w:t>
      </w:r>
      <w:r>
        <w:rPr>
          <w:rFonts w:hint="eastAsia" w:ascii="宋体" w:cs="宋体"/>
          <w:sz w:val="24"/>
        </w:rPr>
        <w:t>未通过资格性审查的投标人，为无效投标，不进入符合性审查。</w:t>
      </w:r>
    </w:p>
    <w:p>
      <w:pPr>
        <w:pStyle w:val="101"/>
        <w:widowControl/>
        <w:numPr>
          <w:ilvl w:val="0"/>
          <w:numId w:val="41"/>
        </w:numPr>
        <w:spacing w:line="360" w:lineRule="auto"/>
        <w:ind w:firstLineChars="0"/>
        <w:jc w:val="left"/>
        <w:rPr>
          <w:rFonts w:ascii="宋体" w:cs="宋体"/>
          <w:strike/>
          <w:sz w:val="24"/>
        </w:rPr>
      </w:pPr>
      <w:r>
        <w:rPr>
          <w:rFonts w:hint="eastAsia" w:ascii="宋体" w:cs="宋体"/>
          <w:sz w:val="24"/>
        </w:rPr>
        <w:t>投标人按照《符合性审查表》的评审内容的要求如实提供证明材料。未通过符合性审查的投标人，为无效投标，不进入详细评审。</w:t>
      </w:r>
    </w:p>
    <w:p>
      <w:pPr>
        <w:pStyle w:val="101"/>
        <w:numPr>
          <w:ilvl w:val="0"/>
          <w:numId w:val="41"/>
        </w:numPr>
        <w:tabs>
          <w:tab w:val="left" w:pos="6405"/>
        </w:tabs>
        <w:adjustRightInd w:val="0"/>
        <w:snapToGrid w:val="0"/>
        <w:spacing w:line="360" w:lineRule="auto"/>
        <w:ind w:firstLineChars="0"/>
        <w:rPr>
          <w:rFonts w:ascii="宋体" w:hAnsi="宋体"/>
          <w:sz w:val="24"/>
        </w:rPr>
      </w:pPr>
      <w:r>
        <w:rPr>
          <w:rFonts w:hint="eastAsia" w:ascii="宋体" w:hAnsi="宋体"/>
          <w:sz w:val="24"/>
        </w:rPr>
        <w:t>投标人根据第三章评标方法和标准的《综合评分表》要求提交相关各类证明材料</w:t>
      </w:r>
      <w:r>
        <w:rPr>
          <w:rFonts w:hint="eastAsia" w:ascii="宋体" w:hAnsi="宋体"/>
          <w:bCs/>
          <w:sz w:val="24"/>
        </w:rPr>
        <w:t>。</w:t>
      </w:r>
    </w:p>
    <w:p>
      <w:pPr>
        <w:rPr>
          <w:rFonts w:ascii="宋体" w:hAnsi="宋体"/>
          <w:sz w:val="24"/>
        </w:rPr>
      </w:pPr>
      <w:r>
        <w:rPr>
          <w:rFonts w:hint="eastAsia" w:ascii="宋体" w:hAnsi="宋体"/>
          <w:bCs/>
          <w:sz w:val="24"/>
        </w:rPr>
        <w:br w:type="page"/>
      </w:r>
    </w:p>
    <w:p>
      <w:pPr>
        <w:widowControl/>
        <w:spacing w:line="360" w:lineRule="auto"/>
        <w:jc w:val="left"/>
        <w:rPr>
          <w:rFonts w:ascii="宋体" w:cs="宋体"/>
          <w:strike/>
          <w:sz w:val="24"/>
        </w:rPr>
      </w:pPr>
    </w:p>
    <w:p>
      <w:pPr>
        <w:pStyle w:val="101"/>
        <w:numPr>
          <w:ilvl w:val="0"/>
          <w:numId w:val="42"/>
        </w:numPr>
        <w:adjustRightInd w:val="0"/>
        <w:snapToGrid w:val="0"/>
        <w:spacing w:line="360" w:lineRule="auto"/>
        <w:ind w:firstLineChars="0"/>
        <w:jc w:val="center"/>
        <w:rPr>
          <w:rFonts w:ascii="宋体" w:hAnsi="宋体"/>
          <w:b/>
          <w:sz w:val="30"/>
          <w:szCs w:val="30"/>
        </w:rPr>
      </w:pPr>
      <w:r>
        <w:rPr>
          <w:rFonts w:hint="eastAsia" w:ascii="宋体" w:hAnsi="宋体"/>
          <w:b/>
          <w:sz w:val="30"/>
          <w:szCs w:val="30"/>
        </w:rPr>
        <w:t>价格评审自查表</w:t>
      </w:r>
    </w:p>
    <w:p>
      <w:pPr>
        <w:adjustRightInd w:val="0"/>
        <w:snapToGrid w:val="0"/>
        <w:spacing w:line="360" w:lineRule="auto"/>
        <w:rPr>
          <w:rFonts w:ascii="宋体" w:hAnsi="宋体"/>
          <w:sz w:val="24"/>
        </w:rPr>
      </w:pPr>
      <w:r>
        <w:rPr>
          <w:rFonts w:hint="eastAsia" w:ascii="宋体" w:hAnsi="宋体"/>
          <w:sz w:val="24"/>
        </w:rPr>
        <w:t>项目名称：广州市白云城市开发投资集团有限公司2023年9月至2024年8月食材配送服务项目</w:t>
      </w:r>
    </w:p>
    <w:p>
      <w:pPr>
        <w:adjustRightInd w:val="0"/>
        <w:snapToGrid w:val="0"/>
        <w:spacing w:line="360" w:lineRule="auto"/>
        <w:rPr>
          <w:rFonts w:ascii="宋体" w:hAnsi="宋体"/>
          <w:sz w:val="24"/>
        </w:rPr>
      </w:pPr>
      <w:r>
        <w:rPr>
          <w:rFonts w:hint="eastAsia" w:ascii="宋体" w:hAnsi="宋体"/>
          <w:sz w:val="24"/>
        </w:rPr>
        <w:t>项目编号：BYJSCG-23-0005</w:t>
      </w:r>
    </w:p>
    <w:tbl>
      <w:tblPr>
        <w:tblStyle w:val="55"/>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5485"/>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tcBorders>
              <w:top w:val="single" w:color="auto" w:sz="12" w:space="0"/>
              <w:left w:val="single" w:color="auto" w:sz="12" w:space="0"/>
              <w:bottom w:val="single" w:color="auto" w:sz="4" w:space="0"/>
              <w:right w:val="single" w:color="auto" w:sz="4" w:space="0"/>
            </w:tcBorders>
            <w:vAlign w:val="center"/>
          </w:tcPr>
          <w:p>
            <w:pPr>
              <w:adjustRightInd w:val="0"/>
              <w:snapToGrid w:val="0"/>
              <w:jc w:val="center"/>
              <w:rPr>
                <w:rFonts w:ascii="宋体" w:hAnsi="宋体"/>
                <w:b/>
                <w:sz w:val="24"/>
              </w:rPr>
            </w:pPr>
            <w:r>
              <w:rPr>
                <w:rFonts w:hint="eastAsia" w:ascii="宋体" w:hAnsi="宋体"/>
                <w:b/>
                <w:sz w:val="24"/>
              </w:rPr>
              <w:t>序号</w:t>
            </w:r>
          </w:p>
        </w:tc>
        <w:tc>
          <w:tcPr>
            <w:tcW w:w="5485"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rPr>
                <w:rFonts w:ascii="宋体" w:hAnsi="宋体"/>
                <w:b/>
                <w:sz w:val="24"/>
              </w:rPr>
            </w:pPr>
            <w:r>
              <w:rPr>
                <w:rFonts w:hint="eastAsia" w:ascii="宋体" w:hAnsi="宋体"/>
                <w:b/>
                <w:sz w:val="24"/>
              </w:rPr>
              <w:t>评审分项</w:t>
            </w:r>
          </w:p>
        </w:tc>
        <w:tc>
          <w:tcPr>
            <w:tcW w:w="3155" w:type="dxa"/>
            <w:tcBorders>
              <w:top w:val="single" w:color="auto" w:sz="12" w:space="0"/>
              <w:left w:val="single" w:color="auto" w:sz="4" w:space="0"/>
              <w:bottom w:val="single" w:color="auto" w:sz="4" w:space="0"/>
              <w:right w:val="single" w:color="auto" w:sz="12" w:space="0"/>
            </w:tcBorders>
            <w:vAlign w:val="center"/>
          </w:tcPr>
          <w:p>
            <w:pPr>
              <w:adjustRightInd w:val="0"/>
              <w:snapToGrid w:val="0"/>
              <w:jc w:val="center"/>
              <w:rPr>
                <w:rFonts w:ascii="宋体" w:hAnsi="宋体"/>
                <w:b/>
                <w:sz w:val="24"/>
              </w:rPr>
            </w:pPr>
            <w:r>
              <w:rPr>
                <w:rFonts w:hint="eastAsia" w:ascii="宋体" w:hAnsi="宋体"/>
                <w:b/>
                <w:sz w:val="24"/>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 w:type="dxa"/>
            <w:tcBorders>
              <w:top w:val="single" w:color="auto" w:sz="4" w:space="0"/>
              <w:left w:val="single" w:color="auto" w:sz="12" w:space="0"/>
              <w:bottom w:val="single" w:color="auto" w:sz="4" w:space="0"/>
              <w:right w:val="single" w:color="auto" w:sz="4" w:space="0"/>
            </w:tcBorders>
            <w:vAlign w:val="center"/>
          </w:tcPr>
          <w:p>
            <w:pPr>
              <w:numPr>
                <w:ilvl w:val="0"/>
                <w:numId w:val="43"/>
              </w:numPr>
              <w:adjustRightInd w:val="0"/>
              <w:snapToGrid w:val="0"/>
              <w:rPr>
                <w:rFonts w:ascii="宋体" w:hAnsi="宋体"/>
                <w:sz w:val="24"/>
              </w:rPr>
            </w:pPr>
          </w:p>
        </w:tc>
        <w:tc>
          <w:tcPr>
            <w:tcW w:w="548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sz w:val="24"/>
              </w:rPr>
            </w:pPr>
            <w:r>
              <w:rPr>
                <w:rFonts w:hint="eastAsia" w:hAnsi="宋体" w:cs="Courier New"/>
                <w:sz w:val="24"/>
              </w:rPr>
              <w:t>开标一览表(报价表)</w:t>
            </w:r>
          </w:p>
        </w:tc>
        <w:tc>
          <w:tcPr>
            <w:tcW w:w="3155"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sz w:val="24"/>
              </w:rPr>
            </w:pPr>
            <w:r>
              <w:rPr>
                <w:rFonts w:hint="eastAsia" w:asciiTheme="minorEastAsia" w:hAnsiTheme="minorEastAsia" w:eastAsiaTheme="minorEastAsia"/>
                <w:sz w:val="24"/>
              </w:rPr>
              <w:t>第（ ）页</w:t>
            </w:r>
          </w:p>
        </w:tc>
      </w:tr>
    </w:tbl>
    <w:p>
      <w:pPr>
        <w:pStyle w:val="101"/>
        <w:numPr>
          <w:ilvl w:val="0"/>
          <w:numId w:val="42"/>
        </w:numPr>
        <w:adjustRightInd w:val="0"/>
        <w:snapToGrid w:val="0"/>
        <w:spacing w:line="360" w:lineRule="auto"/>
        <w:ind w:firstLineChars="0"/>
        <w:jc w:val="center"/>
        <w:rPr>
          <w:rFonts w:ascii="宋体" w:hAnsi="宋体"/>
          <w:b/>
          <w:sz w:val="30"/>
          <w:szCs w:val="30"/>
        </w:rPr>
        <w:sectPr>
          <w:pgSz w:w="11906" w:h="16838"/>
          <w:pgMar w:top="1440" w:right="1286" w:bottom="1440" w:left="1440" w:header="851" w:footer="992" w:gutter="0"/>
          <w:cols w:space="720" w:num="1"/>
          <w:docGrid w:type="lines" w:linePitch="312" w:charSpace="0"/>
        </w:sectPr>
      </w:pPr>
    </w:p>
    <w:p>
      <w:pPr>
        <w:pStyle w:val="101"/>
        <w:numPr>
          <w:ilvl w:val="0"/>
          <w:numId w:val="42"/>
        </w:numPr>
        <w:adjustRightInd w:val="0"/>
        <w:snapToGrid w:val="0"/>
        <w:spacing w:line="360" w:lineRule="auto"/>
        <w:ind w:firstLineChars="0"/>
        <w:jc w:val="center"/>
        <w:rPr>
          <w:rFonts w:ascii="宋体" w:hAnsi="宋体"/>
          <w:b/>
          <w:sz w:val="30"/>
          <w:szCs w:val="30"/>
        </w:rPr>
      </w:pPr>
      <w:r>
        <w:rPr>
          <w:rFonts w:hint="eastAsia" w:ascii="宋体" w:hAnsi="宋体"/>
          <w:b/>
          <w:sz w:val="30"/>
          <w:szCs w:val="30"/>
        </w:rPr>
        <w:t>资格性自查表</w:t>
      </w:r>
    </w:p>
    <w:tbl>
      <w:tblPr>
        <w:tblStyle w:val="55"/>
        <w:tblW w:w="10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553"/>
        <w:gridCol w:w="7450"/>
        <w:gridCol w:w="1435"/>
        <w:gridCol w:w="14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cantSplit/>
          <w:trHeight w:val="0" w:hRule="atLeast"/>
          <w:tblHeader/>
          <w:jc w:val="center"/>
        </w:trPr>
        <w:tc>
          <w:tcPr>
            <w:tcW w:w="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r>
              <w:rPr>
                <w:rFonts w:hint="eastAsia"/>
                <w:sz w:val="24"/>
                <w:szCs w:val="24"/>
              </w:rPr>
              <w:t>序号</w:t>
            </w:r>
          </w:p>
        </w:tc>
        <w:tc>
          <w:tcPr>
            <w:tcW w:w="74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r>
              <w:rPr>
                <w:rFonts w:hint="eastAsia"/>
                <w:sz w:val="24"/>
                <w:szCs w:val="24"/>
              </w:rPr>
              <w:t>招标文件要求</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r>
              <w:rPr>
                <w:rFonts w:hint="eastAsia"/>
                <w:sz w:val="24"/>
                <w:szCs w:val="24"/>
              </w:rPr>
              <w:t>自查结论</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r>
              <w:rPr>
                <w:rFonts w:hint="eastAsia"/>
                <w:sz w:val="24"/>
                <w:szCs w:val="24"/>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0" w:hRule="atLeast"/>
          <w:tblHeader/>
          <w:jc w:val="center"/>
        </w:trPr>
        <w:tc>
          <w:tcPr>
            <w:tcW w:w="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r>
              <w:rPr>
                <w:rFonts w:hint="eastAsia"/>
                <w:sz w:val="24"/>
                <w:szCs w:val="24"/>
              </w:rPr>
              <w:t>1</w:t>
            </w:r>
          </w:p>
        </w:tc>
        <w:tc>
          <w:tcPr>
            <w:tcW w:w="745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ascii="宋体" w:hAnsi="宋体"/>
                <w:sz w:val="24"/>
                <w:szCs w:val="24"/>
              </w:rPr>
              <w:t>投标人参加投标的意思表达清楚，投标人代表被授权有效。</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 xml:space="preserve">□通过 </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□不通过</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0" w:hRule="atLeast"/>
          <w:tblHeader/>
          <w:jc w:val="center"/>
        </w:trPr>
        <w:tc>
          <w:tcPr>
            <w:tcW w:w="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r>
              <w:rPr>
                <w:rFonts w:hint="eastAsia"/>
                <w:sz w:val="24"/>
                <w:szCs w:val="24"/>
              </w:rPr>
              <w:t>2</w:t>
            </w:r>
          </w:p>
        </w:tc>
        <w:tc>
          <w:tcPr>
            <w:tcW w:w="745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投标人具有独立法人或其授权的分支机构资格，持有工商行政管理部门核发的法人营业执照或事业单位法人证书或社会团体法人登记证书，按国家法律经营。（提供在中华人民共和国境内注册的法人或其他组织的营业执照或事业单位法人证书或社会团体法人登记证书复印件，如投标人为自然人的提供自然人身份证明复印件；依法经国务院批准免予登记的社会组织的，应提供相应文件证明其依法免予登记；如国家另有规定的，则从其规定。如投标人为分支机构，须取得具有法人资格的总公司出具给分支机构的授权书，并提供总公司和分支机构的营业执照（执业许可证）复印件。已由总公司授权的，总公司取得的相关资质证书对分支机构有效，法律法规或者行业另有规定的除外）。</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□通过</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□不通过</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0" w:hRule="atLeast"/>
          <w:tblHeader/>
          <w:jc w:val="center"/>
        </w:trPr>
        <w:tc>
          <w:tcPr>
            <w:tcW w:w="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r>
              <w:rPr>
                <w:rFonts w:hint="eastAsia"/>
                <w:sz w:val="24"/>
                <w:szCs w:val="24"/>
              </w:rPr>
              <w:t>3</w:t>
            </w:r>
          </w:p>
        </w:tc>
        <w:tc>
          <w:tcPr>
            <w:tcW w:w="745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具有良好的商业信誉和健全的财务会计制度，有依法缴纳税收和社会保障资金的良好记录，履行合同所必需的设备和专业技术能力（提供《投标人资格声明函》）。</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 xml:space="preserve">□通过 </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□不通过</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0" w:hRule="atLeast"/>
          <w:tblHeader/>
          <w:jc w:val="center"/>
        </w:trPr>
        <w:tc>
          <w:tcPr>
            <w:tcW w:w="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24"/>
              </w:rPr>
            </w:pPr>
            <w:r>
              <w:rPr>
                <w:rFonts w:hint="eastAsia"/>
                <w:sz w:val="24"/>
                <w:szCs w:val="24"/>
              </w:rPr>
              <w:t>4</w:t>
            </w:r>
          </w:p>
        </w:tc>
        <w:tc>
          <w:tcPr>
            <w:tcW w:w="745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参加采购活动前3年内，在经营活动中没有重大违法记录（提供《投标人资格声明函》）。</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 xml:space="preserve">□通过 </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□不通过</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0" w:hRule="atLeast"/>
          <w:tblHeader/>
          <w:jc w:val="center"/>
        </w:trPr>
        <w:tc>
          <w:tcPr>
            <w:tcW w:w="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4"/>
                <w:szCs w:val="24"/>
                <w:lang w:val="en-US" w:eastAsia="zh-CN"/>
              </w:rPr>
            </w:pPr>
            <w:r>
              <w:rPr>
                <w:rFonts w:hint="eastAsia"/>
                <w:sz w:val="24"/>
                <w:szCs w:val="24"/>
                <w:lang w:val="en-US" w:eastAsia="zh-CN"/>
              </w:rPr>
              <w:t>5</w:t>
            </w:r>
          </w:p>
        </w:tc>
        <w:tc>
          <w:tcPr>
            <w:tcW w:w="745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ascii="宋体" w:hAnsi="宋体"/>
                <w:kern w:val="0"/>
                <w:sz w:val="24"/>
                <w:szCs w:val="24"/>
              </w:rPr>
              <w:t>单位</w:t>
            </w:r>
            <w:r>
              <w:rPr>
                <w:rFonts w:hint="eastAsia" w:ascii="宋体" w:hAnsi="宋体"/>
                <w:bCs/>
                <w:kern w:val="0"/>
                <w:sz w:val="24"/>
                <w:szCs w:val="24"/>
              </w:rPr>
              <w:t>负责人为同一人或者存在直接控股、管理关系的不同投标人，不得参加同一合同项下的采购活动（提供《投标人资格声明函》）</w:t>
            </w:r>
            <w:r>
              <w:rPr>
                <w:rFonts w:hint="eastAsia" w:ascii="宋体" w:hAnsi="宋体"/>
                <w:bCs/>
                <w:kern w:val="0"/>
                <w:sz w:val="24"/>
                <w:szCs w:val="24"/>
                <w:lang w:eastAsia="zh-CN"/>
              </w:rPr>
              <w:t>。</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 xml:space="preserve">□通过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□不通过</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0" w:hRule="atLeast"/>
          <w:tblHeader/>
          <w:jc w:val="center"/>
        </w:trPr>
        <w:tc>
          <w:tcPr>
            <w:tcW w:w="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4"/>
                <w:szCs w:val="24"/>
                <w:lang w:val="en-US" w:eastAsia="zh-CN"/>
              </w:rPr>
            </w:pPr>
            <w:r>
              <w:rPr>
                <w:rFonts w:hint="eastAsia"/>
                <w:sz w:val="24"/>
                <w:szCs w:val="24"/>
                <w:lang w:val="en-US" w:eastAsia="zh-CN"/>
              </w:rPr>
              <w:t>6</w:t>
            </w:r>
          </w:p>
        </w:tc>
        <w:tc>
          <w:tcPr>
            <w:tcW w:w="745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kern w:val="0"/>
                <w:sz w:val="24"/>
                <w:szCs w:val="24"/>
              </w:rPr>
            </w:pPr>
            <w:r>
              <w:rPr>
                <w:rFonts w:hint="eastAsia" w:ascii="宋体" w:hAnsi="宋体"/>
                <w:kern w:val="0"/>
                <w:sz w:val="24"/>
                <w:szCs w:val="24"/>
              </w:rPr>
              <w:t>投标人未被列入“信用中国”网站（www.creditchina.gov.cn）“记录失信被执行人或重大税收违法案件当事人名单”记录名单（①以评标委员会于开标当天资格审查时在以上网站的查询结果为准，如在上述网站查询结果均显示没有相关记录，视为没有上述不良信用记录；②若评标委员会在以上网站查询不到该投标人相关记录的，以投标人出具的承诺函为准，并视为没有上述不良信用记录）。</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 xml:space="preserve">□通过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□不通过</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0" w:hRule="atLeast"/>
          <w:tblHeader/>
          <w:jc w:val="center"/>
        </w:trPr>
        <w:tc>
          <w:tcPr>
            <w:tcW w:w="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4"/>
                <w:szCs w:val="24"/>
                <w:lang w:val="en-US" w:eastAsia="zh-CN"/>
              </w:rPr>
            </w:pPr>
            <w:r>
              <w:rPr>
                <w:rFonts w:hint="eastAsia"/>
                <w:sz w:val="24"/>
                <w:szCs w:val="24"/>
                <w:lang w:val="en-US" w:eastAsia="zh-CN"/>
              </w:rPr>
              <w:t>7</w:t>
            </w:r>
          </w:p>
        </w:tc>
        <w:tc>
          <w:tcPr>
            <w:tcW w:w="745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kern w:val="0"/>
                <w:sz w:val="24"/>
                <w:szCs w:val="24"/>
              </w:rPr>
            </w:pPr>
            <w:r>
              <w:rPr>
                <w:rFonts w:hint="eastAsia" w:ascii="宋体" w:hAnsi="宋体"/>
                <w:bCs/>
                <w:kern w:val="0"/>
                <w:sz w:val="24"/>
                <w:szCs w:val="24"/>
              </w:rPr>
              <w:t>未进行投标登记的投标人，不得参加本项目的采购活动。</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 xml:space="preserve">□通过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□不通过</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0" w:hRule="atLeast"/>
          <w:tblHeader/>
          <w:jc w:val="center"/>
        </w:trPr>
        <w:tc>
          <w:tcPr>
            <w:tcW w:w="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4"/>
                <w:szCs w:val="24"/>
                <w:lang w:val="en-US" w:eastAsia="zh-CN"/>
              </w:rPr>
            </w:pPr>
            <w:r>
              <w:rPr>
                <w:rFonts w:hint="eastAsia"/>
                <w:sz w:val="24"/>
                <w:szCs w:val="24"/>
                <w:lang w:val="en-US" w:eastAsia="zh-CN"/>
              </w:rPr>
              <w:t>8</w:t>
            </w:r>
          </w:p>
        </w:tc>
        <w:tc>
          <w:tcPr>
            <w:tcW w:w="745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Cs/>
                <w:kern w:val="0"/>
                <w:sz w:val="24"/>
                <w:szCs w:val="24"/>
              </w:rPr>
            </w:pPr>
            <w:r>
              <w:rPr>
                <w:rFonts w:hint="eastAsia" w:ascii="宋体" w:hAnsi="宋体"/>
                <w:kern w:val="0"/>
                <w:sz w:val="24"/>
                <w:szCs w:val="24"/>
                <w:lang w:val="en-US" w:eastAsia="zh-CN"/>
              </w:rPr>
              <w:t>投标人未在以往投标中因不诚信行为或不充分履约行为被本项目招标人书面拒绝投标的；（详见采购公告附件一《被本项目招标人书面拒绝投标的企业名单》）。</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 xml:space="preserve">□通过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□不通过</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0" w:hRule="atLeast"/>
          <w:tblHeader/>
          <w:jc w:val="center"/>
        </w:trPr>
        <w:tc>
          <w:tcPr>
            <w:tcW w:w="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4"/>
                <w:szCs w:val="24"/>
                <w:lang w:val="en-US" w:eastAsia="zh-CN"/>
              </w:rPr>
            </w:pPr>
            <w:r>
              <w:rPr>
                <w:rFonts w:hint="eastAsia"/>
                <w:sz w:val="24"/>
                <w:szCs w:val="24"/>
                <w:lang w:val="en-US" w:eastAsia="zh-CN"/>
              </w:rPr>
              <w:t>9</w:t>
            </w:r>
          </w:p>
        </w:tc>
        <w:tc>
          <w:tcPr>
            <w:tcW w:w="745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kern w:val="0"/>
                <w:sz w:val="24"/>
                <w:szCs w:val="24"/>
                <w:lang w:val="en-US" w:eastAsia="zh-CN"/>
              </w:rPr>
            </w:pPr>
            <w:r>
              <w:rPr>
                <w:rFonts w:hint="eastAsia" w:ascii="宋体" w:hAnsi="宋体"/>
                <w:sz w:val="24"/>
                <w:szCs w:val="24"/>
              </w:rPr>
              <w:t>本项目</w:t>
            </w:r>
            <w:r>
              <w:rPr>
                <w:rFonts w:hint="eastAsia" w:ascii="宋体" w:hAnsi="宋体"/>
                <w:sz w:val="24"/>
                <w:szCs w:val="24"/>
                <w:u w:val="single"/>
              </w:rPr>
              <w:t>不接受</w:t>
            </w:r>
            <w:r>
              <w:rPr>
                <w:rFonts w:hint="eastAsia" w:ascii="宋体" w:hAnsi="宋体"/>
                <w:sz w:val="24"/>
                <w:szCs w:val="24"/>
              </w:rPr>
              <w:t>联合体投标。</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 xml:space="preserve">□通过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□不通过</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0" w:hRule="atLeast"/>
          <w:tblHeader/>
          <w:jc w:val="center"/>
        </w:trPr>
        <w:tc>
          <w:tcPr>
            <w:tcW w:w="5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z w:val="24"/>
                <w:szCs w:val="24"/>
                <w:lang w:val="en-US" w:eastAsia="zh-CN"/>
              </w:rPr>
            </w:pPr>
            <w:r>
              <w:rPr>
                <w:rFonts w:hint="eastAsia"/>
                <w:sz w:val="24"/>
                <w:szCs w:val="24"/>
                <w:lang w:val="en-US" w:eastAsia="zh-CN"/>
              </w:rPr>
              <w:t>10</w:t>
            </w:r>
          </w:p>
        </w:tc>
        <w:tc>
          <w:tcPr>
            <w:tcW w:w="7450"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kern w:val="0"/>
                <w:sz w:val="24"/>
                <w:szCs w:val="24"/>
                <w:lang w:val="en-US" w:eastAsia="zh-CN"/>
              </w:rPr>
            </w:pPr>
            <w:r>
              <w:rPr>
                <w:rFonts w:hint="eastAsia" w:ascii="宋体" w:hAnsi="宋体"/>
                <w:kern w:val="0"/>
                <w:sz w:val="24"/>
                <w:szCs w:val="24"/>
                <w:lang w:val="en-US" w:eastAsia="zh-CN"/>
              </w:rPr>
              <w:t>法律</w:t>
            </w:r>
            <w:r>
              <w:rPr>
                <w:rFonts w:hint="eastAsia" w:ascii="宋体" w:hAnsi="宋体" w:eastAsia="宋体" w:cs="Times New Roman"/>
                <w:kern w:val="0"/>
                <w:sz w:val="24"/>
                <w:szCs w:val="24"/>
                <w:lang w:val="en-US" w:eastAsia="zh-CN" w:bidi="ar-SA"/>
              </w:rPr>
              <w:t>、法规规定的其他要求</w:t>
            </w:r>
            <w:r>
              <w:rPr>
                <w:rFonts w:hint="eastAsia" w:ascii="宋体" w:hAnsi="宋体"/>
                <w:bCs/>
                <w:kern w:val="0"/>
                <w:sz w:val="24"/>
                <w:szCs w:val="24"/>
              </w:rPr>
              <w:t>（提供《投标人资格声明函》）</w:t>
            </w:r>
            <w:r>
              <w:rPr>
                <w:rFonts w:hint="eastAsia" w:ascii="宋体" w:hAnsi="宋体" w:eastAsia="宋体" w:cs="Times New Roman"/>
                <w:kern w:val="0"/>
                <w:sz w:val="24"/>
                <w:szCs w:val="24"/>
                <w:lang w:val="en-US" w:eastAsia="zh-CN" w:bidi="ar-SA"/>
              </w:rPr>
              <w:t>。</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r>
              <w:rPr>
                <w:rFonts w:hint="eastAsia"/>
                <w:sz w:val="24"/>
                <w:szCs w:val="24"/>
              </w:rPr>
              <w:t xml:space="preserve">□通过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□不通过</w:t>
            </w:r>
          </w:p>
        </w:tc>
        <w:tc>
          <w:tcPr>
            <w:tcW w:w="144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第（ ）页</w:t>
            </w:r>
          </w:p>
        </w:tc>
      </w:tr>
    </w:tbl>
    <w:p>
      <w:pPr>
        <w:pStyle w:val="101"/>
        <w:numPr>
          <w:ilvl w:val="0"/>
          <w:numId w:val="42"/>
        </w:numPr>
        <w:adjustRightInd w:val="0"/>
        <w:snapToGrid w:val="0"/>
        <w:spacing w:line="360" w:lineRule="auto"/>
        <w:ind w:firstLineChars="0"/>
        <w:jc w:val="center"/>
        <w:rPr>
          <w:rFonts w:ascii="宋体" w:hAnsi="宋体"/>
          <w:b/>
          <w:sz w:val="30"/>
          <w:szCs w:val="30"/>
        </w:rPr>
        <w:sectPr>
          <w:pgSz w:w="11906" w:h="16838"/>
          <w:pgMar w:top="1440" w:right="1286" w:bottom="1440" w:left="1440" w:header="851" w:footer="992" w:gutter="0"/>
          <w:cols w:space="720" w:num="1"/>
          <w:docGrid w:type="lines" w:linePitch="312" w:charSpace="0"/>
        </w:sectPr>
      </w:pPr>
    </w:p>
    <w:p>
      <w:pPr>
        <w:pStyle w:val="101"/>
        <w:numPr>
          <w:ilvl w:val="0"/>
          <w:numId w:val="42"/>
        </w:numPr>
        <w:adjustRightInd w:val="0"/>
        <w:snapToGrid w:val="0"/>
        <w:spacing w:line="360" w:lineRule="auto"/>
        <w:ind w:firstLineChars="0"/>
        <w:jc w:val="center"/>
        <w:rPr>
          <w:rFonts w:ascii="宋体" w:hAnsi="宋体"/>
          <w:b/>
          <w:sz w:val="30"/>
          <w:szCs w:val="30"/>
        </w:rPr>
      </w:pPr>
      <w:r>
        <w:rPr>
          <w:rFonts w:hint="eastAsia" w:ascii="宋体" w:hAnsi="宋体"/>
          <w:b/>
          <w:sz w:val="30"/>
          <w:szCs w:val="30"/>
        </w:rPr>
        <w:t>符合性自查表</w:t>
      </w:r>
    </w:p>
    <w:tbl>
      <w:tblPr>
        <w:tblStyle w:val="55"/>
        <w:tblW w:w="94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0" w:type="dxa"/>
          <w:left w:w="150" w:type="dxa"/>
          <w:bottom w:w="150" w:type="dxa"/>
          <w:right w:w="150" w:type="dxa"/>
        </w:tblCellMar>
      </w:tblPr>
      <w:tblGrid>
        <w:gridCol w:w="870"/>
        <w:gridCol w:w="5569"/>
        <w:gridCol w:w="1460"/>
        <w:gridCol w:w="15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67" w:hRule="atLeast"/>
        </w:trPr>
        <w:tc>
          <w:tcPr>
            <w:tcW w:w="870" w:type="dxa"/>
          </w:tcPr>
          <w:p>
            <w:pPr>
              <w:adjustRightInd w:val="0"/>
              <w:snapToGrid w:val="0"/>
              <w:spacing w:line="264" w:lineRule="auto"/>
              <w:jc w:val="center"/>
              <w:rPr>
                <w:rStyle w:val="58"/>
                <w:rFonts w:asciiTheme="minorEastAsia" w:hAnsiTheme="minorEastAsia" w:eastAsiaTheme="minorEastAsia"/>
                <w:sz w:val="24"/>
              </w:rPr>
            </w:pPr>
            <w:r>
              <w:rPr>
                <w:rFonts w:hint="eastAsia" w:asciiTheme="minorEastAsia" w:hAnsiTheme="minorEastAsia" w:eastAsiaTheme="minorEastAsia"/>
                <w:b/>
                <w:sz w:val="24"/>
              </w:rPr>
              <w:t>序号</w:t>
            </w:r>
          </w:p>
        </w:tc>
        <w:tc>
          <w:tcPr>
            <w:tcW w:w="5569" w:type="dxa"/>
            <w:vAlign w:val="center"/>
          </w:tcPr>
          <w:p>
            <w:pPr>
              <w:adjustRightInd w:val="0"/>
              <w:snapToGrid w:val="0"/>
              <w:spacing w:line="264" w:lineRule="auto"/>
              <w:jc w:val="center"/>
              <w:rPr>
                <w:rFonts w:cs="宋体" w:asciiTheme="minorEastAsia" w:hAnsiTheme="minorEastAsia" w:eastAsiaTheme="minorEastAsia"/>
                <w:sz w:val="24"/>
              </w:rPr>
            </w:pPr>
            <w:r>
              <w:rPr>
                <w:rStyle w:val="58"/>
                <w:rFonts w:asciiTheme="minorEastAsia" w:hAnsiTheme="minorEastAsia" w:eastAsiaTheme="minorEastAsia"/>
                <w:sz w:val="24"/>
              </w:rPr>
              <w:t>招标文件</w:t>
            </w:r>
            <w:r>
              <w:rPr>
                <w:rStyle w:val="58"/>
                <w:rFonts w:hint="eastAsia" w:asciiTheme="minorEastAsia" w:hAnsiTheme="minorEastAsia" w:eastAsiaTheme="minorEastAsia"/>
                <w:sz w:val="24"/>
              </w:rPr>
              <w:t>要求</w:t>
            </w:r>
          </w:p>
        </w:tc>
        <w:tc>
          <w:tcPr>
            <w:tcW w:w="1460" w:type="dxa"/>
            <w:vAlign w:val="center"/>
          </w:tcPr>
          <w:p>
            <w:pPr>
              <w:adjustRightInd w:val="0"/>
              <w:snapToGrid w:val="0"/>
              <w:spacing w:line="264" w:lineRule="auto"/>
              <w:jc w:val="center"/>
              <w:rPr>
                <w:rFonts w:cs="宋体" w:asciiTheme="minorEastAsia" w:hAnsiTheme="minorEastAsia" w:eastAsiaTheme="minorEastAsia"/>
                <w:sz w:val="24"/>
              </w:rPr>
            </w:pPr>
            <w:r>
              <w:rPr>
                <w:rStyle w:val="58"/>
                <w:rFonts w:hint="eastAsia" w:asciiTheme="minorEastAsia" w:hAnsiTheme="minorEastAsia" w:eastAsiaTheme="minorEastAsia"/>
                <w:sz w:val="24"/>
              </w:rPr>
              <w:t>自查结论</w:t>
            </w:r>
          </w:p>
        </w:tc>
        <w:tc>
          <w:tcPr>
            <w:tcW w:w="1581" w:type="dxa"/>
            <w:vAlign w:val="center"/>
          </w:tcPr>
          <w:p>
            <w:pPr>
              <w:adjustRightInd w:val="0"/>
              <w:snapToGrid w:val="0"/>
              <w:spacing w:line="264" w:lineRule="auto"/>
              <w:jc w:val="center"/>
              <w:rPr>
                <w:rFonts w:cs="宋体" w:asciiTheme="minorEastAsia" w:hAnsiTheme="minorEastAsia" w:eastAsiaTheme="minorEastAsia"/>
                <w:sz w:val="24"/>
              </w:rPr>
            </w:pPr>
            <w:r>
              <w:rPr>
                <w:rFonts w:hint="eastAsia" w:asciiTheme="minorEastAsia" w:hAnsiTheme="minorEastAsia" w:eastAsiaTheme="minorEastAsia"/>
                <w:b/>
                <w:sz w:val="24"/>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67" w:hRule="atLeast"/>
        </w:trPr>
        <w:tc>
          <w:tcPr>
            <w:tcW w:w="870" w:type="dxa"/>
          </w:tcPr>
          <w:p>
            <w:pPr>
              <w:pStyle w:val="101"/>
              <w:numPr>
                <w:ilvl w:val="0"/>
                <w:numId w:val="44"/>
              </w:numPr>
              <w:adjustRightInd w:val="0"/>
              <w:snapToGrid w:val="0"/>
              <w:spacing w:line="264" w:lineRule="auto"/>
              <w:ind w:firstLineChars="0"/>
              <w:rPr>
                <w:rFonts w:cs="宋体" w:asciiTheme="minorEastAsia" w:hAnsiTheme="minorEastAsia" w:eastAsiaTheme="minorEastAsia"/>
                <w:sz w:val="24"/>
              </w:rPr>
            </w:pPr>
          </w:p>
        </w:tc>
        <w:tc>
          <w:tcPr>
            <w:tcW w:w="5569" w:type="dxa"/>
            <w:vAlign w:val="center"/>
          </w:tcPr>
          <w:p>
            <w:pPr>
              <w:adjustRightInd w:val="0"/>
              <w:snapToGrid w:val="0"/>
              <w:spacing w:line="264" w:lineRule="auto"/>
              <w:jc w:val="left"/>
              <w:rPr>
                <w:rStyle w:val="58"/>
                <w:rFonts w:asciiTheme="minorEastAsia" w:hAnsiTheme="minorEastAsia" w:eastAsiaTheme="minorEastAsia"/>
                <w:sz w:val="24"/>
              </w:rPr>
            </w:pPr>
            <w:r>
              <w:rPr>
                <w:rFonts w:hint="eastAsia" w:ascii="宋体" w:hAnsi="宋体" w:cs="宋体"/>
                <w:sz w:val="24"/>
              </w:rPr>
              <w:t>投标文件按照招标文件规定要求签署、盖章且投标文件有法定代表人或授权代表签字或盖章</w:t>
            </w:r>
            <w:r>
              <w:rPr>
                <w:rFonts w:hint="eastAsia" w:cs="宋体" w:asciiTheme="minorEastAsia" w:hAnsiTheme="minorEastAsia" w:eastAsiaTheme="minorEastAsia"/>
                <w:sz w:val="24"/>
              </w:rPr>
              <w:t>；</w:t>
            </w:r>
          </w:p>
        </w:tc>
        <w:tc>
          <w:tcPr>
            <w:tcW w:w="1460" w:type="dxa"/>
            <w:vAlign w:val="center"/>
          </w:tcPr>
          <w:p>
            <w:pPr>
              <w:adjustRightInd w:val="0"/>
              <w:snapToGrid w:val="0"/>
              <w:spacing w:line="264" w:lineRule="auto"/>
              <w:rPr>
                <w:rFonts w:asciiTheme="minorEastAsia" w:hAnsiTheme="minorEastAsia" w:eastAsiaTheme="minorEastAsia"/>
                <w:sz w:val="24"/>
              </w:rPr>
            </w:pPr>
            <w:r>
              <w:rPr>
                <w:rFonts w:hint="eastAsia" w:cs="Arial" w:asciiTheme="minorEastAsia" w:hAnsiTheme="minorEastAsia" w:eastAsiaTheme="minorEastAsia"/>
                <w:sz w:val="24"/>
              </w:rPr>
              <w:t>□</w:t>
            </w:r>
            <w:r>
              <w:rPr>
                <w:rFonts w:hint="eastAsia" w:asciiTheme="minorEastAsia" w:hAnsiTheme="minorEastAsia" w:eastAsiaTheme="minorEastAsia"/>
                <w:sz w:val="24"/>
              </w:rPr>
              <w:t xml:space="preserve">通过 </w:t>
            </w:r>
          </w:p>
          <w:p>
            <w:pPr>
              <w:adjustRightInd w:val="0"/>
              <w:snapToGrid w:val="0"/>
              <w:spacing w:line="264" w:lineRule="auto"/>
              <w:rPr>
                <w:rFonts w:cs="宋体" w:asciiTheme="minorEastAsia" w:hAnsiTheme="minorEastAsia" w:eastAsiaTheme="minorEastAsia"/>
                <w:sz w:val="24"/>
              </w:rPr>
            </w:pPr>
            <w:r>
              <w:rPr>
                <w:rFonts w:hint="eastAsia" w:cs="Arial" w:asciiTheme="minorEastAsia" w:hAnsiTheme="minorEastAsia" w:eastAsiaTheme="minorEastAsia"/>
                <w:sz w:val="24"/>
              </w:rPr>
              <w:t>□</w:t>
            </w:r>
            <w:r>
              <w:rPr>
                <w:rFonts w:hint="eastAsia" w:asciiTheme="minorEastAsia" w:hAnsiTheme="minorEastAsia" w:eastAsiaTheme="minorEastAsia"/>
                <w:sz w:val="24"/>
              </w:rPr>
              <w:t>不通过</w:t>
            </w:r>
          </w:p>
        </w:tc>
        <w:tc>
          <w:tcPr>
            <w:tcW w:w="1581" w:type="dxa"/>
            <w:vAlign w:val="center"/>
          </w:tcPr>
          <w:p>
            <w:pPr>
              <w:adjustRightInd w:val="0"/>
              <w:snapToGrid w:val="0"/>
              <w:spacing w:line="264" w:lineRule="auto"/>
              <w:jc w:val="center"/>
              <w:rPr>
                <w:rFonts w:cs="宋体" w:asciiTheme="minorEastAsia" w:hAnsiTheme="minorEastAsia" w:eastAsiaTheme="minorEastAsia"/>
                <w:sz w:val="24"/>
              </w:rPr>
            </w:pPr>
            <w:r>
              <w:rPr>
                <w:rFonts w:asciiTheme="minorEastAsia" w:hAnsiTheme="minorEastAsia" w:eastAsiaTheme="minorEastAsia"/>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567" w:hRule="atLeast"/>
        </w:trPr>
        <w:tc>
          <w:tcPr>
            <w:tcW w:w="870" w:type="dxa"/>
          </w:tcPr>
          <w:p>
            <w:pPr>
              <w:pStyle w:val="101"/>
              <w:numPr>
                <w:ilvl w:val="0"/>
                <w:numId w:val="44"/>
              </w:numPr>
              <w:adjustRightInd w:val="0"/>
              <w:snapToGrid w:val="0"/>
              <w:spacing w:line="264" w:lineRule="auto"/>
              <w:ind w:firstLineChars="0"/>
              <w:rPr>
                <w:rFonts w:cs="宋体" w:asciiTheme="minorEastAsia" w:hAnsiTheme="minorEastAsia" w:eastAsiaTheme="minorEastAsia"/>
                <w:sz w:val="24"/>
              </w:rPr>
            </w:pPr>
          </w:p>
        </w:tc>
        <w:tc>
          <w:tcPr>
            <w:tcW w:w="5569" w:type="dxa"/>
            <w:vAlign w:val="center"/>
          </w:tcPr>
          <w:p>
            <w:pPr>
              <w:adjustRightInd w:val="0"/>
              <w:snapToGrid w:val="0"/>
              <w:spacing w:line="264" w:lineRule="auto"/>
              <w:jc w:val="left"/>
              <w:rPr>
                <w:rFonts w:ascii="宋体" w:hAnsi="宋体" w:cs="宋体"/>
                <w:sz w:val="24"/>
              </w:rPr>
            </w:pPr>
            <w:r>
              <w:rPr>
                <w:rFonts w:hint="eastAsia" w:ascii="宋体" w:hAnsi="宋体" w:cs="宋体"/>
                <w:sz w:val="24"/>
              </w:rPr>
              <w:t>按招标文件要求提供法定代表人证明书，投标文件由授权代表签署的，还需授权代表签字人签署的须提供法定代表人授权委托书</w:t>
            </w:r>
          </w:p>
        </w:tc>
        <w:tc>
          <w:tcPr>
            <w:tcW w:w="1460" w:type="dxa"/>
            <w:vAlign w:val="center"/>
          </w:tcPr>
          <w:p>
            <w:pPr>
              <w:adjustRightInd w:val="0"/>
              <w:snapToGrid w:val="0"/>
              <w:spacing w:line="264" w:lineRule="auto"/>
              <w:rPr>
                <w:rFonts w:asciiTheme="minorEastAsia" w:hAnsiTheme="minorEastAsia" w:eastAsiaTheme="minorEastAsia"/>
                <w:sz w:val="24"/>
              </w:rPr>
            </w:pPr>
            <w:r>
              <w:rPr>
                <w:rFonts w:hint="eastAsia" w:cs="Arial" w:asciiTheme="minorEastAsia" w:hAnsiTheme="minorEastAsia" w:eastAsiaTheme="minorEastAsia"/>
                <w:sz w:val="24"/>
              </w:rPr>
              <w:t>□</w:t>
            </w:r>
            <w:r>
              <w:rPr>
                <w:rFonts w:hint="eastAsia" w:asciiTheme="minorEastAsia" w:hAnsiTheme="minorEastAsia" w:eastAsiaTheme="minorEastAsia"/>
                <w:sz w:val="24"/>
              </w:rPr>
              <w:t xml:space="preserve">通过 </w:t>
            </w:r>
          </w:p>
          <w:p>
            <w:pPr>
              <w:adjustRightInd w:val="0"/>
              <w:snapToGrid w:val="0"/>
              <w:spacing w:line="264" w:lineRule="auto"/>
              <w:rPr>
                <w:rFonts w:cs="Arial" w:asciiTheme="minorEastAsia" w:hAnsiTheme="minorEastAsia" w:eastAsiaTheme="minorEastAsia"/>
                <w:sz w:val="24"/>
              </w:rPr>
            </w:pPr>
            <w:r>
              <w:rPr>
                <w:rFonts w:hint="eastAsia" w:cs="Arial" w:asciiTheme="minorEastAsia" w:hAnsiTheme="minorEastAsia" w:eastAsiaTheme="minorEastAsia"/>
                <w:sz w:val="24"/>
              </w:rPr>
              <w:t>□</w:t>
            </w:r>
            <w:r>
              <w:rPr>
                <w:rFonts w:hint="eastAsia" w:asciiTheme="minorEastAsia" w:hAnsiTheme="minorEastAsia" w:eastAsiaTheme="minorEastAsia"/>
                <w:sz w:val="24"/>
              </w:rPr>
              <w:t>不通过</w:t>
            </w:r>
          </w:p>
        </w:tc>
        <w:tc>
          <w:tcPr>
            <w:tcW w:w="1581" w:type="dxa"/>
            <w:vAlign w:val="center"/>
          </w:tcPr>
          <w:p>
            <w:pPr>
              <w:adjustRightInd w:val="0"/>
              <w:snapToGrid w:val="0"/>
              <w:spacing w:line="264" w:lineRule="auto"/>
              <w:jc w:val="center"/>
              <w:rPr>
                <w:rFonts w:asciiTheme="minorEastAsia" w:hAnsiTheme="minorEastAsia" w:eastAsiaTheme="minorEastAsia"/>
                <w:sz w:val="24"/>
              </w:rPr>
            </w:pPr>
            <w:r>
              <w:rPr>
                <w:rFonts w:hint="eastAsia" w:asciiTheme="minorEastAsia" w:hAnsiTheme="minorEastAsia" w:eastAsiaTheme="minorEastAsia"/>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270" w:hRule="atLeast"/>
        </w:trPr>
        <w:tc>
          <w:tcPr>
            <w:tcW w:w="870" w:type="dxa"/>
          </w:tcPr>
          <w:p>
            <w:pPr>
              <w:pStyle w:val="101"/>
              <w:numPr>
                <w:ilvl w:val="0"/>
                <w:numId w:val="44"/>
              </w:numPr>
              <w:adjustRightInd w:val="0"/>
              <w:snapToGrid w:val="0"/>
              <w:spacing w:line="264" w:lineRule="auto"/>
              <w:ind w:firstLineChars="0"/>
              <w:rPr>
                <w:rFonts w:cs="宋体" w:asciiTheme="minorEastAsia" w:hAnsiTheme="minorEastAsia" w:eastAsiaTheme="minorEastAsia"/>
                <w:sz w:val="24"/>
              </w:rPr>
            </w:pPr>
          </w:p>
        </w:tc>
        <w:tc>
          <w:tcPr>
            <w:tcW w:w="5569" w:type="dxa"/>
            <w:vAlign w:val="center"/>
          </w:tcPr>
          <w:p>
            <w:pPr>
              <w:adjustRightInd w:val="0"/>
              <w:snapToGrid w:val="0"/>
              <w:spacing w:line="264"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投标函已提交并符合招标文件要求的</w:t>
            </w:r>
            <w:r>
              <w:rPr>
                <w:rFonts w:hint="eastAsia" w:ascii="宋体" w:hAnsi="宋体" w:cs="宋体"/>
                <w:sz w:val="24"/>
              </w:rPr>
              <w:t>，且</w:t>
            </w:r>
            <w:r>
              <w:rPr>
                <w:rFonts w:hint="eastAsia" w:ascii="宋体" w:hAnsi="宋体"/>
                <w:sz w:val="24"/>
              </w:rPr>
              <w:t>投标有效期不少于招标文件中载明的投标有效期；</w:t>
            </w:r>
          </w:p>
        </w:tc>
        <w:tc>
          <w:tcPr>
            <w:tcW w:w="1460" w:type="dxa"/>
            <w:vAlign w:val="center"/>
          </w:tcPr>
          <w:p>
            <w:pPr>
              <w:adjustRightInd w:val="0"/>
              <w:snapToGrid w:val="0"/>
              <w:spacing w:line="264" w:lineRule="auto"/>
              <w:rPr>
                <w:rFonts w:asciiTheme="minorEastAsia" w:hAnsiTheme="minorEastAsia" w:eastAsiaTheme="minorEastAsia"/>
                <w:sz w:val="24"/>
              </w:rPr>
            </w:pPr>
            <w:r>
              <w:rPr>
                <w:rFonts w:hint="eastAsia" w:asciiTheme="minorEastAsia" w:hAnsiTheme="minorEastAsia" w:eastAsiaTheme="minorEastAsia"/>
                <w:sz w:val="24"/>
              </w:rPr>
              <w:t xml:space="preserve">□通过 </w:t>
            </w:r>
          </w:p>
          <w:p>
            <w:pPr>
              <w:adjustRightInd w:val="0"/>
              <w:snapToGrid w:val="0"/>
              <w:spacing w:line="264" w:lineRule="auto"/>
              <w:rPr>
                <w:rFonts w:asciiTheme="minorEastAsia" w:hAnsiTheme="minorEastAsia" w:eastAsiaTheme="minorEastAsia"/>
                <w:sz w:val="24"/>
              </w:rPr>
            </w:pPr>
            <w:r>
              <w:rPr>
                <w:rFonts w:hint="eastAsia" w:asciiTheme="minorEastAsia" w:hAnsiTheme="minorEastAsia" w:eastAsiaTheme="minorEastAsia"/>
                <w:sz w:val="24"/>
              </w:rPr>
              <w:t>□不通过</w:t>
            </w:r>
          </w:p>
        </w:tc>
        <w:tc>
          <w:tcPr>
            <w:tcW w:w="1581" w:type="dxa"/>
            <w:vAlign w:val="center"/>
          </w:tcPr>
          <w:p>
            <w:pPr>
              <w:adjustRightInd w:val="0"/>
              <w:snapToGrid w:val="0"/>
              <w:spacing w:line="264" w:lineRule="auto"/>
              <w:jc w:val="center"/>
              <w:rPr>
                <w:rFonts w:asciiTheme="minorEastAsia" w:hAnsiTheme="minorEastAsia" w:eastAsiaTheme="minorEastAsia"/>
                <w:sz w:val="24"/>
              </w:rPr>
            </w:pPr>
            <w:r>
              <w:rPr>
                <w:rFonts w:hint="eastAsia" w:asciiTheme="minorEastAsia" w:hAnsiTheme="minorEastAsia" w:eastAsiaTheme="minorEastAsia"/>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10" w:hRule="atLeast"/>
        </w:trPr>
        <w:tc>
          <w:tcPr>
            <w:tcW w:w="870" w:type="dxa"/>
          </w:tcPr>
          <w:p>
            <w:pPr>
              <w:pStyle w:val="101"/>
              <w:numPr>
                <w:ilvl w:val="0"/>
                <w:numId w:val="44"/>
              </w:numPr>
              <w:adjustRightInd w:val="0"/>
              <w:snapToGrid w:val="0"/>
              <w:spacing w:line="264" w:lineRule="auto"/>
              <w:ind w:firstLineChars="0"/>
              <w:rPr>
                <w:rFonts w:cs="宋体" w:asciiTheme="minorEastAsia" w:hAnsiTheme="minorEastAsia" w:eastAsiaTheme="minorEastAsia"/>
                <w:sz w:val="24"/>
              </w:rPr>
            </w:pPr>
          </w:p>
        </w:tc>
        <w:tc>
          <w:tcPr>
            <w:tcW w:w="5569" w:type="dxa"/>
            <w:vAlign w:val="center"/>
          </w:tcPr>
          <w:p>
            <w:pPr>
              <w:snapToGrid w:val="0"/>
              <w:spacing w:line="264" w:lineRule="auto"/>
              <w:rPr>
                <w:rFonts w:cs="宋体" w:asciiTheme="minorEastAsia" w:hAnsiTheme="minorEastAsia" w:eastAsiaTheme="minorEastAsia"/>
                <w:sz w:val="24"/>
              </w:rPr>
            </w:pPr>
            <w:r>
              <w:rPr>
                <w:rFonts w:hint="eastAsia" w:cs="宋体" w:asciiTheme="minorEastAsia" w:hAnsiTheme="minorEastAsia" w:eastAsiaTheme="minorEastAsia"/>
                <w:sz w:val="24"/>
              </w:rPr>
              <w:t>投标文件未出现选择性报价或有附加条件报价的情形，且投标报价确定和未超过采购内容的最高投标限价或超过每月单价限价或不符合相应投标下浮率报价要求的；</w:t>
            </w:r>
          </w:p>
        </w:tc>
        <w:tc>
          <w:tcPr>
            <w:tcW w:w="1460" w:type="dxa"/>
            <w:vAlign w:val="center"/>
          </w:tcPr>
          <w:p>
            <w:pPr>
              <w:adjustRightInd w:val="0"/>
              <w:snapToGrid w:val="0"/>
              <w:spacing w:line="264" w:lineRule="auto"/>
              <w:rPr>
                <w:rFonts w:asciiTheme="minorEastAsia" w:hAnsiTheme="minorEastAsia" w:eastAsiaTheme="minorEastAsia"/>
                <w:sz w:val="24"/>
              </w:rPr>
            </w:pPr>
            <w:r>
              <w:rPr>
                <w:rFonts w:hint="eastAsia" w:cs="Arial" w:asciiTheme="minorEastAsia" w:hAnsiTheme="minorEastAsia" w:eastAsiaTheme="minorEastAsia"/>
                <w:sz w:val="24"/>
              </w:rPr>
              <w:t>□</w:t>
            </w:r>
            <w:r>
              <w:rPr>
                <w:rFonts w:hint="eastAsia" w:asciiTheme="minorEastAsia" w:hAnsiTheme="minorEastAsia" w:eastAsiaTheme="minorEastAsia"/>
                <w:sz w:val="24"/>
              </w:rPr>
              <w:t xml:space="preserve">通过 </w:t>
            </w:r>
          </w:p>
          <w:p>
            <w:pPr>
              <w:adjustRightInd w:val="0"/>
              <w:snapToGrid w:val="0"/>
              <w:spacing w:line="264" w:lineRule="auto"/>
              <w:rPr>
                <w:rFonts w:cs="Arial" w:asciiTheme="minorEastAsia" w:hAnsiTheme="minorEastAsia" w:eastAsiaTheme="minorEastAsia"/>
                <w:sz w:val="24"/>
              </w:rPr>
            </w:pPr>
            <w:r>
              <w:rPr>
                <w:rFonts w:hint="eastAsia" w:cs="Arial" w:asciiTheme="minorEastAsia" w:hAnsiTheme="minorEastAsia" w:eastAsiaTheme="minorEastAsia"/>
                <w:sz w:val="24"/>
              </w:rPr>
              <w:t>□</w:t>
            </w:r>
            <w:r>
              <w:rPr>
                <w:rFonts w:hint="eastAsia" w:asciiTheme="minorEastAsia" w:hAnsiTheme="minorEastAsia" w:eastAsiaTheme="minorEastAsia"/>
                <w:sz w:val="24"/>
              </w:rPr>
              <w:t>不通过</w:t>
            </w:r>
          </w:p>
        </w:tc>
        <w:tc>
          <w:tcPr>
            <w:tcW w:w="1581" w:type="dxa"/>
            <w:vAlign w:val="center"/>
          </w:tcPr>
          <w:p>
            <w:pPr>
              <w:adjustRightInd w:val="0"/>
              <w:snapToGrid w:val="0"/>
              <w:spacing w:line="264" w:lineRule="auto"/>
              <w:jc w:val="center"/>
              <w:rPr>
                <w:rFonts w:asciiTheme="minorEastAsia" w:hAnsiTheme="minorEastAsia" w:eastAsiaTheme="minorEastAsia"/>
                <w:sz w:val="24"/>
              </w:rPr>
            </w:pPr>
            <w:r>
              <w:rPr>
                <w:rFonts w:hint="eastAsia" w:asciiTheme="minorEastAsia" w:hAnsiTheme="minorEastAsia" w:eastAsiaTheme="minorEastAsia"/>
                <w:sz w:val="24"/>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0" w:type="dxa"/>
            <w:left w:w="150" w:type="dxa"/>
            <w:bottom w:w="150" w:type="dxa"/>
            <w:right w:w="150" w:type="dxa"/>
          </w:tblCellMar>
        </w:tblPrEx>
        <w:trPr>
          <w:trHeight w:val="310" w:hRule="atLeast"/>
        </w:trPr>
        <w:tc>
          <w:tcPr>
            <w:tcW w:w="870" w:type="dxa"/>
          </w:tcPr>
          <w:p>
            <w:pPr>
              <w:pStyle w:val="101"/>
              <w:numPr>
                <w:ilvl w:val="0"/>
                <w:numId w:val="44"/>
              </w:numPr>
              <w:adjustRightInd w:val="0"/>
              <w:snapToGrid w:val="0"/>
              <w:spacing w:line="264" w:lineRule="auto"/>
              <w:ind w:firstLineChars="0"/>
              <w:rPr>
                <w:rFonts w:cs="宋体" w:asciiTheme="minorEastAsia" w:hAnsiTheme="minorEastAsia" w:eastAsiaTheme="minorEastAsia"/>
                <w:sz w:val="24"/>
              </w:rPr>
            </w:pPr>
          </w:p>
        </w:tc>
        <w:tc>
          <w:tcPr>
            <w:tcW w:w="5569" w:type="dxa"/>
            <w:vAlign w:val="center"/>
          </w:tcPr>
          <w:p>
            <w:pPr>
              <w:adjustRightInd w:val="0"/>
              <w:snapToGrid w:val="0"/>
              <w:spacing w:line="264" w:lineRule="auto"/>
              <w:jc w:val="left"/>
              <w:rPr>
                <w:rFonts w:ascii="宋体" w:hAnsi="宋体" w:cs="宋体"/>
                <w:sz w:val="24"/>
              </w:rPr>
            </w:pPr>
            <w:r>
              <w:rPr>
                <w:rFonts w:hint="eastAsia" w:ascii="宋体" w:hAnsi="宋体" w:cs="宋体"/>
                <w:sz w:val="24"/>
              </w:rPr>
              <w:t>未发现属无效投标的其他情形。以下为属无效投标的其他情形：</w:t>
            </w:r>
          </w:p>
          <w:p>
            <w:pPr>
              <w:adjustRightInd w:val="0"/>
              <w:snapToGrid w:val="0"/>
              <w:spacing w:line="264" w:lineRule="auto"/>
              <w:jc w:val="left"/>
              <w:rPr>
                <w:rFonts w:ascii="宋体" w:hAnsi="宋体" w:cs="宋体"/>
                <w:sz w:val="24"/>
              </w:rPr>
            </w:pPr>
            <w:r>
              <w:rPr>
                <w:rFonts w:hint="eastAsia" w:ascii="宋体" w:hAnsi="宋体" w:cs="宋体"/>
                <w:sz w:val="24"/>
              </w:rPr>
              <w:t xml:space="preserve">（1）评审期间，投标人没有按评标委员会的要求提交法定代表人或其委托代理人签字的澄清、说明、补正或改变了投标文件的实质性内容的。 </w:t>
            </w:r>
          </w:p>
          <w:p>
            <w:pPr>
              <w:adjustRightInd w:val="0"/>
              <w:snapToGrid w:val="0"/>
              <w:spacing w:line="264" w:lineRule="auto"/>
              <w:jc w:val="left"/>
              <w:rPr>
                <w:rFonts w:ascii="宋体" w:hAnsi="宋体" w:cs="宋体"/>
                <w:sz w:val="24"/>
              </w:rPr>
            </w:pPr>
            <w:r>
              <w:rPr>
                <w:rFonts w:hint="eastAsia" w:ascii="宋体" w:hAnsi="宋体" w:cs="宋体"/>
                <w:sz w:val="24"/>
              </w:rPr>
              <w:t xml:space="preserve">（2）投标文件提供虚假材料的。 </w:t>
            </w:r>
          </w:p>
          <w:p>
            <w:pPr>
              <w:adjustRightInd w:val="0"/>
              <w:snapToGrid w:val="0"/>
              <w:spacing w:line="264" w:lineRule="auto"/>
              <w:jc w:val="left"/>
              <w:rPr>
                <w:rFonts w:ascii="宋体" w:hAnsi="宋体" w:cs="宋体"/>
                <w:sz w:val="24"/>
              </w:rPr>
            </w:pPr>
            <w:r>
              <w:rPr>
                <w:rFonts w:hint="eastAsia" w:ascii="宋体" w:hAnsi="宋体" w:cs="宋体"/>
                <w:sz w:val="24"/>
              </w:rPr>
              <w:t xml:space="preserve">（3）投标人以他人的名义投标、串通投标、以行贿手段谋取中标或者以其他弄虚作假方式投标的。 </w:t>
            </w:r>
          </w:p>
          <w:p>
            <w:pPr>
              <w:adjustRightInd w:val="0"/>
              <w:snapToGrid w:val="0"/>
              <w:spacing w:line="264" w:lineRule="auto"/>
              <w:jc w:val="left"/>
              <w:rPr>
                <w:rFonts w:ascii="宋体" w:hAnsi="宋体" w:cs="宋体"/>
                <w:sz w:val="24"/>
              </w:rPr>
            </w:pPr>
            <w:r>
              <w:rPr>
                <w:rFonts w:hint="eastAsia" w:ascii="宋体" w:hAnsi="宋体" w:cs="宋体"/>
                <w:sz w:val="24"/>
              </w:rPr>
              <w:t xml:space="preserve">（4）投标人对采购人、采购代理机构、评标委员会及其工作人员施加影响，有碍招标公平、公正的。 </w:t>
            </w:r>
          </w:p>
          <w:p>
            <w:pPr>
              <w:adjustRightInd w:val="0"/>
              <w:snapToGrid w:val="0"/>
              <w:spacing w:line="264" w:lineRule="auto"/>
              <w:jc w:val="left"/>
              <w:rPr>
                <w:rFonts w:ascii="宋体" w:hAnsi="宋体" w:cs="宋体"/>
                <w:sz w:val="24"/>
              </w:rPr>
            </w:pPr>
            <w:r>
              <w:rPr>
                <w:rFonts w:hint="eastAsia" w:ascii="宋体" w:hAnsi="宋体" w:cs="宋体"/>
                <w:sz w:val="24"/>
              </w:rPr>
              <w:t xml:space="preserve">（5）投标文件含有采购人不能接受的附加条件的。 </w:t>
            </w:r>
          </w:p>
          <w:p>
            <w:pPr>
              <w:adjustRightInd w:val="0"/>
              <w:snapToGrid w:val="0"/>
              <w:spacing w:line="264" w:lineRule="auto"/>
              <w:jc w:val="left"/>
              <w:rPr>
                <w:rFonts w:ascii="宋体"/>
                <w:b/>
                <w:bCs/>
                <w:i/>
                <w:sz w:val="24"/>
                <w:shd w:val="pct10" w:color="auto" w:fill="FFFFFF"/>
              </w:rPr>
            </w:pPr>
            <w:r>
              <w:rPr>
                <w:rFonts w:hint="eastAsia" w:ascii="宋体" w:hAnsi="宋体" w:cs="宋体"/>
                <w:sz w:val="24"/>
              </w:rPr>
              <w:t>（6）法律、法规和招标文件规定的其他无效情形。</w:t>
            </w:r>
          </w:p>
        </w:tc>
        <w:tc>
          <w:tcPr>
            <w:tcW w:w="1460" w:type="dxa"/>
            <w:vAlign w:val="center"/>
          </w:tcPr>
          <w:p>
            <w:pPr>
              <w:adjustRightInd w:val="0"/>
              <w:snapToGrid w:val="0"/>
              <w:spacing w:line="264" w:lineRule="auto"/>
              <w:rPr>
                <w:rFonts w:asciiTheme="minorEastAsia" w:hAnsiTheme="minorEastAsia" w:eastAsiaTheme="minorEastAsia"/>
                <w:sz w:val="24"/>
              </w:rPr>
            </w:pPr>
            <w:r>
              <w:rPr>
                <w:rFonts w:hint="eastAsia" w:cs="Arial" w:asciiTheme="minorEastAsia" w:hAnsiTheme="minorEastAsia" w:eastAsiaTheme="minorEastAsia"/>
                <w:sz w:val="24"/>
              </w:rPr>
              <w:t>□</w:t>
            </w:r>
            <w:r>
              <w:rPr>
                <w:rFonts w:hint="eastAsia" w:asciiTheme="minorEastAsia" w:hAnsiTheme="minorEastAsia" w:eastAsiaTheme="minorEastAsia"/>
                <w:sz w:val="24"/>
              </w:rPr>
              <w:t xml:space="preserve">通过 </w:t>
            </w:r>
          </w:p>
          <w:p>
            <w:pPr>
              <w:adjustRightInd w:val="0"/>
              <w:snapToGrid w:val="0"/>
              <w:spacing w:line="264" w:lineRule="auto"/>
              <w:rPr>
                <w:rFonts w:cs="Arial" w:asciiTheme="minorEastAsia" w:hAnsiTheme="minorEastAsia" w:eastAsiaTheme="minorEastAsia"/>
                <w:sz w:val="24"/>
              </w:rPr>
            </w:pPr>
            <w:r>
              <w:rPr>
                <w:rFonts w:hint="eastAsia" w:cs="Arial" w:asciiTheme="minorEastAsia" w:hAnsiTheme="minorEastAsia" w:eastAsiaTheme="minorEastAsia"/>
                <w:sz w:val="24"/>
              </w:rPr>
              <w:t>□</w:t>
            </w:r>
            <w:r>
              <w:rPr>
                <w:rFonts w:hint="eastAsia" w:asciiTheme="minorEastAsia" w:hAnsiTheme="minorEastAsia" w:eastAsiaTheme="minorEastAsia"/>
                <w:sz w:val="24"/>
              </w:rPr>
              <w:t>不通过</w:t>
            </w:r>
          </w:p>
        </w:tc>
        <w:tc>
          <w:tcPr>
            <w:tcW w:w="1581" w:type="dxa"/>
            <w:vAlign w:val="center"/>
          </w:tcPr>
          <w:p>
            <w:pPr>
              <w:adjustRightInd w:val="0"/>
              <w:snapToGrid w:val="0"/>
              <w:spacing w:line="264"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w:t>
            </w:r>
          </w:p>
        </w:tc>
      </w:tr>
    </w:tbl>
    <w:p>
      <w:pPr>
        <w:pStyle w:val="101"/>
        <w:numPr>
          <w:ilvl w:val="0"/>
          <w:numId w:val="42"/>
        </w:numPr>
        <w:adjustRightInd w:val="0"/>
        <w:snapToGrid w:val="0"/>
        <w:spacing w:line="360" w:lineRule="auto"/>
        <w:ind w:firstLineChars="0"/>
        <w:jc w:val="center"/>
        <w:rPr>
          <w:rFonts w:ascii="宋体" w:hAnsi="宋体"/>
          <w:b/>
          <w:sz w:val="30"/>
          <w:szCs w:val="30"/>
        </w:rPr>
        <w:sectPr>
          <w:pgSz w:w="11906" w:h="16838"/>
          <w:pgMar w:top="1440" w:right="1286" w:bottom="1440" w:left="1440" w:header="851" w:footer="992" w:gutter="0"/>
          <w:cols w:space="720" w:num="1"/>
          <w:docGrid w:type="lines" w:linePitch="312" w:charSpace="0"/>
        </w:sectPr>
      </w:pPr>
    </w:p>
    <w:p>
      <w:pPr>
        <w:pStyle w:val="101"/>
        <w:numPr>
          <w:ilvl w:val="0"/>
          <w:numId w:val="42"/>
        </w:numPr>
        <w:adjustRightInd w:val="0"/>
        <w:snapToGrid w:val="0"/>
        <w:spacing w:line="360" w:lineRule="auto"/>
        <w:ind w:firstLineChars="0"/>
        <w:jc w:val="center"/>
        <w:rPr>
          <w:rFonts w:ascii="宋体" w:hAnsi="宋体"/>
          <w:b/>
          <w:sz w:val="30"/>
          <w:szCs w:val="30"/>
        </w:rPr>
      </w:pPr>
      <w:r>
        <w:rPr>
          <w:rFonts w:hint="eastAsia" w:ascii="宋体" w:hAnsi="宋体"/>
          <w:b/>
          <w:sz w:val="30"/>
          <w:szCs w:val="30"/>
        </w:rPr>
        <w:t>技术、商务评审自查表</w:t>
      </w:r>
    </w:p>
    <w:tbl>
      <w:tblPr>
        <w:tblStyle w:val="55"/>
        <w:tblW w:w="93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6"/>
        <w:gridCol w:w="2578"/>
        <w:gridCol w:w="2907"/>
        <w:gridCol w:w="31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56" w:type="dxa"/>
            <w:vAlign w:val="center"/>
          </w:tcPr>
          <w:p>
            <w:pPr>
              <w:adjustRightInd w:val="0"/>
              <w:snapToGrid w:val="0"/>
              <w:spacing w:line="264" w:lineRule="auto"/>
              <w:jc w:val="center"/>
              <w:rPr>
                <w:rFonts w:ascii="宋体" w:hAnsi="宋体"/>
                <w:b/>
                <w:sz w:val="24"/>
              </w:rPr>
            </w:pPr>
            <w:r>
              <w:rPr>
                <w:rFonts w:hint="eastAsia" w:ascii="宋体" w:hAnsi="宋体"/>
                <w:b/>
                <w:sz w:val="24"/>
              </w:rPr>
              <w:t>序号</w:t>
            </w:r>
          </w:p>
        </w:tc>
        <w:tc>
          <w:tcPr>
            <w:tcW w:w="2578" w:type="dxa"/>
            <w:vAlign w:val="center"/>
          </w:tcPr>
          <w:p>
            <w:pPr>
              <w:adjustRightInd w:val="0"/>
              <w:snapToGrid w:val="0"/>
              <w:spacing w:line="264" w:lineRule="auto"/>
              <w:jc w:val="center"/>
              <w:rPr>
                <w:rFonts w:ascii="宋体" w:hAnsi="宋体"/>
                <w:b/>
                <w:sz w:val="24"/>
              </w:rPr>
            </w:pPr>
            <w:r>
              <w:rPr>
                <w:rFonts w:hint="eastAsia" w:ascii="宋体" w:hAnsi="宋体" w:cs="宋体"/>
                <w:b/>
                <w:sz w:val="24"/>
              </w:rPr>
              <w:t>评审因素</w:t>
            </w:r>
          </w:p>
        </w:tc>
        <w:tc>
          <w:tcPr>
            <w:tcW w:w="2907" w:type="dxa"/>
            <w:vAlign w:val="center"/>
          </w:tcPr>
          <w:p>
            <w:pPr>
              <w:adjustRightInd w:val="0"/>
              <w:snapToGrid w:val="0"/>
              <w:spacing w:line="264" w:lineRule="auto"/>
              <w:jc w:val="center"/>
              <w:rPr>
                <w:rFonts w:ascii="宋体" w:hAnsi="宋体"/>
                <w:b/>
                <w:sz w:val="24"/>
              </w:rPr>
            </w:pPr>
            <w:r>
              <w:rPr>
                <w:rFonts w:hint="eastAsia" w:ascii="宋体" w:hAnsi="宋体"/>
                <w:b/>
                <w:sz w:val="24"/>
              </w:rPr>
              <w:t>提交内容</w:t>
            </w:r>
          </w:p>
        </w:tc>
        <w:tc>
          <w:tcPr>
            <w:tcW w:w="3155" w:type="dxa"/>
            <w:vAlign w:val="center"/>
          </w:tcPr>
          <w:p>
            <w:pPr>
              <w:adjustRightInd w:val="0"/>
              <w:snapToGrid w:val="0"/>
              <w:spacing w:line="264" w:lineRule="auto"/>
              <w:jc w:val="center"/>
              <w:rPr>
                <w:rFonts w:ascii="宋体" w:hAnsi="宋体"/>
                <w:b/>
                <w:sz w:val="24"/>
              </w:rPr>
            </w:pPr>
            <w:r>
              <w:rPr>
                <w:rFonts w:hint="eastAsia" w:ascii="宋体" w:hAnsi="宋体"/>
                <w:b/>
                <w:sz w:val="24"/>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9396" w:type="dxa"/>
            <w:gridSpan w:val="4"/>
            <w:vAlign w:val="center"/>
          </w:tcPr>
          <w:p>
            <w:pPr>
              <w:adjustRightInd w:val="0"/>
              <w:snapToGrid w:val="0"/>
              <w:spacing w:line="264" w:lineRule="auto"/>
              <w:jc w:val="center"/>
              <w:rPr>
                <w:rFonts w:asciiTheme="minorEastAsia" w:hAnsiTheme="minorEastAsia" w:eastAsiaTheme="minorEastAsia"/>
                <w:sz w:val="24"/>
              </w:rPr>
            </w:pPr>
            <w:r>
              <w:rPr>
                <w:rFonts w:hint="eastAsia" w:asciiTheme="minorEastAsia" w:hAnsiTheme="minorEastAsia" w:eastAsiaTheme="minorEastAsia"/>
                <w:bCs/>
                <w:sz w:val="24"/>
              </w:rPr>
              <w:t>技术方案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56" w:type="dxa"/>
            <w:vAlign w:val="center"/>
          </w:tcPr>
          <w:p>
            <w:pPr>
              <w:numPr>
                <w:ilvl w:val="0"/>
                <w:numId w:val="45"/>
              </w:numPr>
              <w:adjustRightInd w:val="0"/>
              <w:snapToGrid w:val="0"/>
              <w:spacing w:line="264" w:lineRule="auto"/>
              <w:rPr>
                <w:rFonts w:ascii="宋体" w:hAnsi="宋体"/>
                <w:sz w:val="24"/>
              </w:rPr>
            </w:pPr>
          </w:p>
        </w:tc>
        <w:tc>
          <w:tcPr>
            <w:tcW w:w="2578" w:type="dxa"/>
            <w:vAlign w:val="center"/>
          </w:tcPr>
          <w:p>
            <w:pPr>
              <w:adjustRightInd w:val="0"/>
              <w:snapToGrid w:val="0"/>
              <w:spacing w:line="264" w:lineRule="auto"/>
              <w:jc w:val="center"/>
              <w:rPr>
                <w:rFonts w:ascii="宋体" w:hAnsi="宋体" w:cs="宋体"/>
                <w:sz w:val="24"/>
              </w:rPr>
            </w:pPr>
            <w:r>
              <w:rPr>
                <w:rFonts w:hint="eastAsia" w:ascii="宋体" w:hAnsi="宋体" w:cs="宋体"/>
                <w:kern w:val="0"/>
                <w:sz w:val="24"/>
              </w:rPr>
              <w:t>总体服务</w:t>
            </w:r>
          </w:p>
        </w:tc>
        <w:tc>
          <w:tcPr>
            <w:tcW w:w="2907" w:type="dxa"/>
            <w:vAlign w:val="center"/>
          </w:tcPr>
          <w:p>
            <w:pPr>
              <w:adjustRightInd w:val="0"/>
              <w:snapToGrid w:val="0"/>
              <w:spacing w:line="264" w:lineRule="auto"/>
              <w:jc w:val="center"/>
              <w:rPr>
                <w:rFonts w:asciiTheme="minorEastAsia" w:hAnsiTheme="minorEastAsia" w:eastAsiaTheme="minorEastAsia"/>
                <w:sz w:val="24"/>
              </w:rPr>
            </w:pPr>
          </w:p>
        </w:tc>
        <w:tc>
          <w:tcPr>
            <w:tcW w:w="3155" w:type="dxa"/>
            <w:vAlign w:val="center"/>
          </w:tcPr>
          <w:p>
            <w:pPr>
              <w:adjustRightInd w:val="0"/>
              <w:snapToGrid w:val="0"/>
              <w:spacing w:line="264" w:lineRule="auto"/>
              <w:jc w:val="center"/>
              <w:rPr>
                <w:rFonts w:asciiTheme="minorEastAsia" w:hAnsiTheme="minorEastAsia" w:eastAsiaTheme="minorEastAsia"/>
                <w:sz w:val="24"/>
              </w:rPr>
            </w:pPr>
            <w:r>
              <w:rPr>
                <w:rFonts w:hint="eastAsia" w:asciiTheme="minorEastAsia" w:hAnsiTheme="minorEastAsia" w:eastAsiaTheme="minorEastAsia"/>
                <w:sz w:val="24"/>
              </w:rPr>
              <w:t>第（ ）页</w:t>
            </w:r>
            <w:r>
              <w:rPr>
                <w:rFonts w:hint="eastAsia" w:ascii="宋体" w:hAnsi="宋体"/>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56" w:type="dxa"/>
            <w:vAlign w:val="center"/>
          </w:tcPr>
          <w:p>
            <w:pPr>
              <w:numPr>
                <w:ilvl w:val="0"/>
                <w:numId w:val="45"/>
              </w:numPr>
              <w:adjustRightInd w:val="0"/>
              <w:snapToGrid w:val="0"/>
              <w:spacing w:line="264" w:lineRule="auto"/>
              <w:rPr>
                <w:rFonts w:ascii="宋体" w:hAnsi="宋体"/>
                <w:sz w:val="24"/>
              </w:rPr>
            </w:pPr>
          </w:p>
        </w:tc>
        <w:tc>
          <w:tcPr>
            <w:tcW w:w="2578" w:type="dxa"/>
            <w:vAlign w:val="center"/>
          </w:tcPr>
          <w:p>
            <w:pPr>
              <w:adjustRightInd w:val="0"/>
              <w:snapToGrid w:val="0"/>
              <w:spacing w:line="264" w:lineRule="auto"/>
              <w:jc w:val="center"/>
              <w:rPr>
                <w:rFonts w:ascii="宋体" w:hAnsi="宋体" w:cs="宋体"/>
                <w:sz w:val="24"/>
              </w:rPr>
            </w:pPr>
            <w:r>
              <w:rPr>
                <w:rFonts w:hint="eastAsia" w:ascii="宋体" w:hAnsi="宋体" w:cs="宋体"/>
                <w:sz w:val="24"/>
              </w:rPr>
              <w:t>产品质量及安全保证</w:t>
            </w:r>
          </w:p>
        </w:tc>
        <w:tc>
          <w:tcPr>
            <w:tcW w:w="2907" w:type="dxa"/>
            <w:vAlign w:val="center"/>
          </w:tcPr>
          <w:p>
            <w:pPr>
              <w:adjustRightInd w:val="0"/>
              <w:snapToGrid w:val="0"/>
              <w:spacing w:line="264" w:lineRule="auto"/>
              <w:jc w:val="center"/>
              <w:rPr>
                <w:rFonts w:asciiTheme="minorEastAsia" w:hAnsiTheme="minorEastAsia" w:eastAsiaTheme="minorEastAsia"/>
                <w:sz w:val="24"/>
              </w:rPr>
            </w:pPr>
          </w:p>
        </w:tc>
        <w:tc>
          <w:tcPr>
            <w:tcW w:w="3155" w:type="dxa"/>
            <w:vAlign w:val="center"/>
          </w:tcPr>
          <w:p>
            <w:pPr>
              <w:adjustRightInd w:val="0"/>
              <w:snapToGrid w:val="0"/>
              <w:spacing w:line="264" w:lineRule="auto"/>
              <w:jc w:val="center"/>
              <w:rPr>
                <w:rFonts w:asciiTheme="minorEastAsia" w:hAnsiTheme="minorEastAsia" w:eastAsiaTheme="minorEastAsia"/>
                <w:sz w:val="24"/>
              </w:rPr>
            </w:pPr>
            <w:r>
              <w:rPr>
                <w:rFonts w:hint="eastAsia" w:asciiTheme="minorEastAsia" w:hAnsiTheme="minorEastAsia" w:eastAsiaTheme="minorEastAsia"/>
                <w:sz w:val="24"/>
              </w:rPr>
              <w:t>第（ ）页</w:t>
            </w:r>
            <w:r>
              <w:rPr>
                <w:rFonts w:hint="eastAsia" w:ascii="宋体" w:hAnsi="宋体"/>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56" w:type="dxa"/>
            <w:vAlign w:val="center"/>
          </w:tcPr>
          <w:p>
            <w:pPr>
              <w:numPr>
                <w:ilvl w:val="0"/>
                <w:numId w:val="45"/>
              </w:numPr>
              <w:adjustRightInd w:val="0"/>
              <w:snapToGrid w:val="0"/>
              <w:spacing w:line="264" w:lineRule="auto"/>
              <w:rPr>
                <w:rFonts w:ascii="宋体" w:hAnsi="宋体"/>
                <w:sz w:val="24"/>
              </w:rPr>
            </w:pPr>
          </w:p>
        </w:tc>
        <w:tc>
          <w:tcPr>
            <w:tcW w:w="2578" w:type="dxa"/>
            <w:vAlign w:val="center"/>
          </w:tcPr>
          <w:p>
            <w:pPr>
              <w:adjustRightInd w:val="0"/>
              <w:snapToGrid w:val="0"/>
              <w:spacing w:line="264" w:lineRule="auto"/>
              <w:jc w:val="center"/>
              <w:rPr>
                <w:rFonts w:ascii="宋体" w:hAnsi="宋体" w:cs="宋体"/>
                <w:sz w:val="24"/>
              </w:rPr>
            </w:pPr>
            <w:r>
              <w:rPr>
                <w:rFonts w:hint="eastAsia" w:ascii="宋体" w:hAnsi="宋体" w:cs="宋体"/>
                <w:sz w:val="24"/>
              </w:rPr>
              <w:t>卫生安全保障计划措施、应急计划</w:t>
            </w:r>
          </w:p>
        </w:tc>
        <w:tc>
          <w:tcPr>
            <w:tcW w:w="2907" w:type="dxa"/>
            <w:vAlign w:val="center"/>
          </w:tcPr>
          <w:p>
            <w:pPr>
              <w:adjustRightInd w:val="0"/>
              <w:snapToGrid w:val="0"/>
              <w:spacing w:line="264" w:lineRule="auto"/>
              <w:jc w:val="center"/>
              <w:rPr>
                <w:rFonts w:asciiTheme="minorEastAsia" w:hAnsiTheme="minorEastAsia" w:eastAsiaTheme="minorEastAsia"/>
                <w:sz w:val="24"/>
              </w:rPr>
            </w:pPr>
          </w:p>
        </w:tc>
        <w:tc>
          <w:tcPr>
            <w:tcW w:w="3155" w:type="dxa"/>
            <w:vAlign w:val="center"/>
          </w:tcPr>
          <w:p>
            <w:pPr>
              <w:adjustRightInd w:val="0"/>
              <w:snapToGrid w:val="0"/>
              <w:spacing w:line="264" w:lineRule="auto"/>
              <w:jc w:val="center"/>
              <w:rPr>
                <w:rFonts w:asciiTheme="minorEastAsia" w:hAnsiTheme="minorEastAsia" w:eastAsiaTheme="minorEastAsia"/>
                <w:sz w:val="24"/>
              </w:rPr>
            </w:pPr>
            <w:r>
              <w:rPr>
                <w:rFonts w:hint="eastAsia" w:asciiTheme="minorEastAsia" w:hAnsiTheme="minorEastAsia" w:eastAsiaTheme="minorEastAsia"/>
                <w:sz w:val="24"/>
              </w:rPr>
              <w:t>第（ ）页</w:t>
            </w:r>
            <w:r>
              <w:rPr>
                <w:rFonts w:hint="eastAsia" w:ascii="宋体" w:hAnsi="宋体"/>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56" w:type="dxa"/>
            <w:vAlign w:val="center"/>
          </w:tcPr>
          <w:p>
            <w:pPr>
              <w:numPr>
                <w:ilvl w:val="0"/>
                <w:numId w:val="45"/>
              </w:numPr>
              <w:adjustRightInd w:val="0"/>
              <w:snapToGrid w:val="0"/>
              <w:spacing w:line="264" w:lineRule="auto"/>
              <w:rPr>
                <w:rFonts w:ascii="宋体" w:hAnsi="宋体"/>
                <w:sz w:val="24"/>
              </w:rPr>
            </w:pPr>
          </w:p>
        </w:tc>
        <w:tc>
          <w:tcPr>
            <w:tcW w:w="2578" w:type="dxa"/>
            <w:vAlign w:val="center"/>
          </w:tcPr>
          <w:p>
            <w:pPr>
              <w:adjustRightInd w:val="0"/>
              <w:snapToGrid w:val="0"/>
              <w:spacing w:line="264" w:lineRule="auto"/>
              <w:jc w:val="center"/>
              <w:rPr>
                <w:rFonts w:ascii="宋体" w:hAnsi="宋体" w:cs="宋体"/>
                <w:sz w:val="24"/>
              </w:rPr>
            </w:pPr>
            <w:r>
              <w:rPr>
                <w:rFonts w:hint="eastAsia" w:ascii="宋体" w:hAnsi="宋体" w:cs="宋体"/>
                <w:sz w:val="24"/>
              </w:rPr>
              <w:t>食品安全追溯能力</w:t>
            </w:r>
          </w:p>
        </w:tc>
        <w:tc>
          <w:tcPr>
            <w:tcW w:w="2907" w:type="dxa"/>
            <w:vAlign w:val="center"/>
          </w:tcPr>
          <w:p>
            <w:pPr>
              <w:adjustRightInd w:val="0"/>
              <w:snapToGrid w:val="0"/>
              <w:spacing w:line="264" w:lineRule="auto"/>
              <w:jc w:val="center"/>
              <w:rPr>
                <w:rFonts w:asciiTheme="minorEastAsia" w:hAnsiTheme="minorEastAsia" w:eastAsiaTheme="minorEastAsia"/>
                <w:sz w:val="24"/>
              </w:rPr>
            </w:pPr>
          </w:p>
        </w:tc>
        <w:tc>
          <w:tcPr>
            <w:tcW w:w="3155" w:type="dxa"/>
            <w:vAlign w:val="center"/>
          </w:tcPr>
          <w:p>
            <w:pPr>
              <w:adjustRightInd w:val="0"/>
              <w:snapToGrid w:val="0"/>
              <w:spacing w:line="264" w:lineRule="auto"/>
              <w:jc w:val="center"/>
              <w:rPr>
                <w:rFonts w:asciiTheme="minorEastAsia" w:hAnsiTheme="minorEastAsia" w:eastAsiaTheme="minorEastAsia"/>
                <w:sz w:val="24"/>
              </w:rPr>
            </w:pPr>
            <w:r>
              <w:rPr>
                <w:rFonts w:hint="eastAsia" w:asciiTheme="minorEastAsia" w:hAnsiTheme="minorEastAsia" w:eastAsiaTheme="minorEastAsia"/>
                <w:sz w:val="24"/>
              </w:rPr>
              <w:t>第（ ）页</w:t>
            </w:r>
            <w:r>
              <w:rPr>
                <w:rFonts w:hint="eastAsia" w:ascii="宋体" w:hAnsi="宋体"/>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56" w:type="dxa"/>
            <w:vAlign w:val="center"/>
          </w:tcPr>
          <w:p>
            <w:pPr>
              <w:numPr>
                <w:ilvl w:val="0"/>
                <w:numId w:val="45"/>
              </w:numPr>
              <w:adjustRightInd w:val="0"/>
              <w:snapToGrid w:val="0"/>
              <w:spacing w:line="264" w:lineRule="auto"/>
              <w:rPr>
                <w:rFonts w:ascii="宋体" w:hAnsi="宋体"/>
                <w:sz w:val="24"/>
              </w:rPr>
            </w:pPr>
          </w:p>
        </w:tc>
        <w:tc>
          <w:tcPr>
            <w:tcW w:w="2578" w:type="dxa"/>
            <w:vAlign w:val="center"/>
          </w:tcPr>
          <w:p>
            <w:pPr>
              <w:adjustRightInd w:val="0"/>
              <w:snapToGrid w:val="0"/>
              <w:spacing w:line="264" w:lineRule="auto"/>
              <w:jc w:val="center"/>
              <w:rPr>
                <w:rFonts w:ascii="宋体" w:hAnsi="宋体" w:cs="宋体"/>
                <w:sz w:val="24"/>
              </w:rPr>
            </w:pPr>
            <w:r>
              <w:rPr>
                <w:rFonts w:hint="eastAsia" w:ascii="宋体" w:hAnsi="宋体" w:cs="宋体"/>
                <w:sz w:val="24"/>
              </w:rPr>
              <w:t>出现产品质量问题退换货方案</w:t>
            </w:r>
          </w:p>
        </w:tc>
        <w:tc>
          <w:tcPr>
            <w:tcW w:w="2907" w:type="dxa"/>
            <w:vAlign w:val="center"/>
          </w:tcPr>
          <w:p>
            <w:pPr>
              <w:adjustRightInd w:val="0"/>
              <w:snapToGrid w:val="0"/>
              <w:spacing w:line="264" w:lineRule="auto"/>
              <w:jc w:val="center"/>
              <w:rPr>
                <w:rFonts w:asciiTheme="minorEastAsia" w:hAnsiTheme="minorEastAsia" w:eastAsiaTheme="minorEastAsia"/>
                <w:sz w:val="24"/>
              </w:rPr>
            </w:pPr>
          </w:p>
        </w:tc>
        <w:tc>
          <w:tcPr>
            <w:tcW w:w="3155" w:type="dxa"/>
            <w:vAlign w:val="center"/>
          </w:tcPr>
          <w:p>
            <w:pPr>
              <w:adjustRightInd w:val="0"/>
              <w:snapToGrid w:val="0"/>
              <w:spacing w:line="264" w:lineRule="auto"/>
              <w:jc w:val="center"/>
              <w:rPr>
                <w:rFonts w:asciiTheme="minorEastAsia" w:hAnsiTheme="minorEastAsia" w:eastAsiaTheme="minorEastAsia"/>
                <w:sz w:val="24"/>
              </w:rPr>
            </w:pPr>
            <w:r>
              <w:rPr>
                <w:rFonts w:hint="eastAsia" w:asciiTheme="minorEastAsia" w:hAnsiTheme="minorEastAsia" w:eastAsiaTheme="minorEastAsia"/>
                <w:sz w:val="24"/>
              </w:rPr>
              <w:t>第（ ）页</w:t>
            </w:r>
            <w:r>
              <w:rPr>
                <w:rFonts w:hint="eastAsia" w:ascii="宋体" w:hAnsi="宋体"/>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9396" w:type="dxa"/>
            <w:gridSpan w:val="4"/>
            <w:vAlign w:val="center"/>
          </w:tcPr>
          <w:p>
            <w:pPr>
              <w:adjustRightInd w:val="0"/>
              <w:snapToGrid w:val="0"/>
              <w:spacing w:line="264" w:lineRule="auto"/>
              <w:jc w:val="center"/>
              <w:rPr>
                <w:rFonts w:ascii="宋体" w:hAnsi="宋体"/>
                <w:sz w:val="24"/>
              </w:rPr>
            </w:pPr>
            <w:r>
              <w:rPr>
                <w:rFonts w:hint="eastAsia" w:asciiTheme="minorEastAsia" w:hAnsiTheme="minorEastAsia" w:eastAsiaTheme="minorEastAsia"/>
                <w:bCs/>
                <w:sz w:val="24"/>
              </w:rPr>
              <w:t>商务资料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56" w:type="dxa"/>
            <w:vAlign w:val="center"/>
          </w:tcPr>
          <w:p>
            <w:pPr>
              <w:numPr>
                <w:ilvl w:val="0"/>
                <w:numId w:val="46"/>
              </w:numPr>
              <w:adjustRightInd w:val="0"/>
              <w:snapToGrid w:val="0"/>
              <w:spacing w:line="264" w:lineRule="auto"/>
              <w:rPr>
                <w:rFonts w:ascii="宋体" w:hAnsi="宋体"/>
                <w:sz w:val="24"/>
              </w:rPr>
            </w:pPr>
          </w:p>
        </w:tc>
        <w:tc>
          <w:tcPr>
            <w:tcW w:w="2578" w:type="dxa"/>
            <w:vAlign w:val="center"/>
          </w:tcPr>
          <w:p>
            <w:pPr>
              <w:adjustRightInd w:val="0"/>
              <w:snapToGrid w:val="0"/>
              <w:spacing w:line="264" w:lineRule="auto"/>
              <w:jc w:val="center"/>
              <w:rPr>
                <w:rFonts w:asciiTheme="minorEastAsia" w:hAnsiTheme="minorEastAsia" w:eastAsiaTheme="minorEastAsia"/>
                <w:sz w:val="24"/>
              </w:rPr>
            </w:pPr>
            <w:r>
              <w:rPr>
                <w:rFonts w:hint="eastAsia" w:ascii="宋体" w:hAnsi="宋体"/>
                <w:kern w:val="0"/>
                <w:sz w:val="24"/>
              </w:rPr>
              <w:t>同类项目业绩</w:t>
            </w:r>
          </w:p>
        </w:tc>
        <w:tc>
          <w:tcPr>
            <w:tcW w:w="2907" w:type="dxa"/>
            <w:vAlign w:val="center"/>
          </w:tcPr>
          <w:p>
            <w:pPr>
              <w:adjustRightInd w:val="0"/>
              <w:snapToGrid w:val="0"/>
              <w:spacing w:line="264" w:lineRule="auto"/>
              <w:jc w:val="left"/>
              <w:rPr>
                <w:rFonts w:asciiTheme="minorEastAsia" w:hAnsiTheme="minorEastAsia" w:eastAsiaTheme="minorEastAsia"/>
                <w:sz w:val="24"/>
              </w:rPr>
            </w:pPr>
          </w:p>
        </w:tc>
        <w:tc>
          <w:tcPr>
            <w:tcW w:w="3155" w:type="dxa"/>
            <w:vAlign w:val="center"/>
          </w:tcPr>
          <w:p>
            <w:pPr>
              <w:adjustRightInd w:val="0"/>
              <w:snapToGrid w:val="0"/>
              <w:spacing w:line="264" w:lineRule="auto"/>
              <w:jc w:val="center"/>
              <w:rPr>
                <w:rFonts w:asciiTheme="minorEastAsia" w:hAnsiTheme="minorEastAsia" w:eastAsiaTheme="minorEastAsia"/>
                <w:sz w:val="24"/>
              </w:rPr>
            </w:pPr>
            <w:r>
              <w:rPr>
                <w:rFonts w:hint="eastAsia" w:asciiTheme="minorEastAsia" w:hAnsiTheme="minorEastAsia" w:eastAsiaTheme="minorEastAsia"/>
                <w:sz w:val="24"/>
              </w:rPr>
              <w:t>第（ ）页</w:t>
            </w:r>
            <w:r>
              <w:rPr>
                <w:rFonts w:hint="eastAsia" w:ascii="宋体" w:hAnsi="宋体"/>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56" w:type="dxa"/>
            <w:vAlign w:val="center"/>
          </w:tcPr>
          <w:p>
            <w:pPr>
              <w:numPr>
                <w:ilvl w:val="0"/>
                <w:numId w:val="46"/>
              </w:numPr>
              <w:adjustRightInd w:val="0"/>
              <w:snapToGrid w:val="0"/>
              <w:spacing w:line="264" w:lineRule="auto"/>
              <w:rPr>
                <w:rFonts w:ascii="宋体" w:hAnsi="宋体"/>
                <w:sz w:val="24"/>
              </w:rPr>
            </w:pPr>
          </w:p>
        </w:tc>
        <w:tc>
          <w:tcPr>
            <w:tcW w:w="2578" w:type="dxa"/>
            <w:vAlign w:val="center"/>
          </w:tcPr>
          <w:p>
            <w:pPr>
              <w:adjustRightInd w:val="0"/>
              <w:snapToGrid w:val="0"/>
              <w:spacing w:line="288" w:lineRule="auto"/>
              <w:jc w:val="center"/>
              <w:rPr>
                <w:rFonts w:asciiTheme="minorEastAsia" w:hAnsiTheme="minorEastAsia" w:eastAsiaTheme="minorEastAsia"/>
                <w:sz w:val="24"/>
              </w:rPr>
            </w:pPr>
            <w:r>
              <w:rPr>
                <w:rFonts w:hint="eastAsia" w:ascii="宋体" w:hAnsi="宋体" w:cs="宋体"/>
                <w:kern w:val="0"/>
                <w:sz w:val="24"/>
              </w:rPr>
              <w:t>管理体系</w:t>
            </w:r>
          </w:p>
        </w:tc>
        <w:tc>
          <w:tcPr>
            <w:tcW w:w="2907" w:type="dxa"/>
            <w:vAlign w:val="center"/>
          </w:tcPr>
          <w:p>
            <w:pPr>
              <w:adjustRightInd w:val="0"/>
              <w:snapToGrid w:val="0"/>
              <w:spacing w:line="264" w:lineRule="auto"/>
              <w:jc w:val="left"/>
              <w:rPr>
                <w:rFonts w:asciiTheme="minorEastAsia" w:hAnsiTheme="minorEastAsia" w:eastAsiaTheme="minorEastAsia"/>
                <w:sz w:val="24"/>
              </w:rPr>
            </w:pPr>
          </w:p>
        </w:tc>
        <w:tc>
          <w:tcPr>
            <w:tcW w:w="3155" w:type="dxa"/>
            <w:vAlign w:val="center"/>
          </w:tcPr>
          <w:p>
            <w:pPr>
              <w:adjustRightInd w:val="0"/>
              <w:snapToGrid w:val="0"/>
              <w:spacing w:line="264" w:lineRule="auto"/>
              <w:jc w:val="center"/>
              <w:rPr>
                <w:rFonts w:asciiTheme="minorEastAsia" w:hAnsiTheme="minorEastAsia" w:eastAsiaTheme="minorEastAsia"/>
                <w:sz w:val="24"/>
              </w:rPr>
            </w:pPr>
            <w:r>
              <w:rPr>
                <w:rFonts w:hint="eastAsia" w:asciiTheme="minorEastAsia" w:hAnsiTheme="minorEastAsia" w:eastAsiaTheme="minorEastAsia"/>
                <w:sz w:val="24"/>
              </w:rPr>
              <w:t>第（ ）页</w:t>
            </w:r>
            <w:r>
              <w:rPr>
                <w:rFonts w:hint="eastAsia" w:ascii="宋体" w:hAnsi="宋体"/>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56" w:type="dxa"/>
            <w:vAlign w:val="center"/>
          </w:tcPr>
          <w:p>
            <w:pPr>
              <w:numPr>
                <w:ilvl w:val="0"/>
                <w:numId w:val="46"/>
              </w:numPr>
              <w:adjustRightInd w:val="0"/>
              <w:snapToGrid w:val="0"/>
              <w:spacing w:line="264" w:lineRule="auto"/>
              <w:rPr>
                <w:rFonts w:ascii="宋体" w:hAnsi="宋体"/>
                <w:sz w:val="24"/>
              </w:rPr>
            </w:pPr>
          </w:p>
        </w:tc>
        <w:tc>
          <w:tcPr>
            <w:tcW w:w="2578" w:type="dxa"/>
            <w:vAlign w:val="center"/>
          </w:tcPr>
          <w:p>
            <w:pPr>
              <w:adjustRightInd w:val="0"/>
              <w:snapToGrid w:val="0"/>
              <w:spacing w:line="288" w:lineRule="auto"/>
              <w:jc w:val="center"/>
              <w:rPr>
                <w:rFonts w:ascii="宋体" w:hAnsi="宋体"/>
                <w:kern w:val="0"/>
                <w:sz w:val="24"/>
              </w:rPr>
            </w:pPr>
            <w:r>
              <w:rPr>
                <w:rFonts w:hint="eastAsia" w:hAnsi="宋体" w:cs="宋体"/>
                <w:sz w:val="24"/>
              </w:rPr>
              <w:t>输送车辆</w:t>
            </w:r>
          </w:p>
        </w:tc>
        <w:tc>
          <w:tcPr>
            <w:tcW w:w="2907" w:type="dxa"/>
            <w:vAlign w:val="center"/>
          </w:tcPr>
          <w:p>
            <w:pPr>
              <w:adjustRightInd w:val="0"/>
              <w:snapToGrid w:val="0"/>
              <w:spacing w:line="264" w:lineRule="auto"/>
              <w:jc w:val="left"/>
              <w:rPr>
                <w:rFonts w:asciiTheme="minorEastAsia" w:hAnsiTheme="minorEastAsia" w:eastAsiaTheme="minorEastAsia"/>
                <w:sz w:val="24"/>
              </w:rPr>
            </w:pPr>
          </w:p>
        </w:tc>
        <w:tc>
          <w:tcPr>
            <w:tcW w:w="3155" w:type="dxa"/>
            <w:vAlign w:val="center"/>
          </w:tcPr>
          <w:p>
            <w:pPr>
              <w:adjustRightInd w:val="0"/>
              <w:snapToGrid w:val="0"/>
              <w:spacing w:line="264" w:lineRule="auto"/>
              <w:jc w:val="center"/>
              <w:rPr>
                <w:rFonts w:asciiTheme="minorEastAsia" w:hAnsiTheme="minorEastAsia" w:eastAsiaTheme="minorEastAsia"/>
                <w:sz w:val="24"/>
              </w:rPr>
            </w:pPr>
            <w:r>
              <w:rPr>
                <w:rFonts w:hint="eastAsia" w:asciiTheme="minorEastAsia" w:hAnsiTheme="minorEastAsia" w:eastAsiaTheme="minorEastAsia"/>
                <w:sz w:val="24"/>
              </w:rPr>
              <w:t>第（ ）页</w:t>
            </w:r>
            <w:r>
              <w:rPr>
                <w:rFonts w:hint="eastAsia" w:ascii="宋体" w:hAnsi="宋体"/>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56" w:type="dxa"/>
            <w:vAlign w:val="center"/>
          </w:tcPr>
          <w:p>
            <w:pPr>
              <w:numPr>
                <w:ilvl w:val="0"/>
                <w:numId w:val="46"/>
              </w:numPr>
              <w:adjustRightInd w:val="0"/>
              <w:snapToGrid w:val="0"/>
              <w:spacing w:line="264" w:lineRule="auto"/>
              <w:rPr>
                <w:rFonts w:ascii="宋体" w:hAnsi="宋体"/>
                <w:sz w:val="24"/>
              </w:rPr>
            </w:pPr>
          </w:p>
        </w:tc>
        <w:tc>
          <w:tcPr>
            <w:tcW w:w="2578" w:type="dxa"/>
            <w:vAlign w:val="center"/>
          </w:tcPr>
          <w:p>
            <w:pPr>
              <w:adjustRightInd w:val="0"/>
              <w:snapToGrid w:val="0"/>
              <w:spacing w:line="288" w:lineRule="auto"/>
              <w:jc w:val="center"/>
              <w:rPr>
                <w:rFonts w:ascii="宋体" w:hAnsi="宋体"/>
                <w:kern w:val="0"/>
                <w:sz w:val="24"/>
              </w:rPr>
            </w:pPr>
            <w:r>
              <w:rPr>
                <w:rFonts w:hint="eastAsia" w:ascii="宋体" w:hAnsi="宋体"/>
                <w:sz w:val="24"/>
              </w:rPr>
              <w:t>冷冻/冷藏库</w:t>
            </w:r>
          </w:p>
        </w:tc>
        <w:tc>
          <w:tcPr>
            <w:tcW w:w="2907" w:type="dxa"/>
            <w:vAlign w:val="center"/>
          </w:tcPr>
          <w:p>
            <w:pPr>
              <w:adjustRightInd w:val="0"/>
              <w:snapToGrid w:val="0"/>
              <w:spacing w:line="264" w:lineRule="auto"/>
              <w:jc w:val="left"/>
              <w:rPr>
                <w:rFonts w:asciiTheme="minorEastAsia" w:hAnsiTheme="minorEastAsia" w:eastAsiaTheme="minorEastAsia"/>
                <w:sz w:val="24"/>
              </w:rPr>
            </w:pPr>
          </w:p>
        </w:tc>
        <w:tc>
          <w:tcPr>
            <w:tcW w:w="3155" w:type="dxa"/>
            <w:vAlign w:val="center"/>
          </w:tcPr>
          <w:p>
            <w:pPr>
              <w:adjustRightInd w:val="0"/>
              <w:snapToGrid w:val="0"/>
              <w:spacing w:line="264" w:lineRule="auto"/>
              <w:jc w:val="center"/>
              <w:rPr>
                <w:rFonts w:asciiTheme="minorEastAsia" w:hAnsiTheme="minorEastAsia" w:eastAsiaTheme="minorEastAsia"/>
                <w:sz w:val="24"/>
              </w:rPr>
            </w:pPr>
            <w:r>
              <w:rPr>
                <w:rFonts w:hint="eastAsia" w:asciiTheme="minorEastAsia" w:hAnsiTheme="minorEastAsia" w:eastAsiaTheme="minorEastAsia"/>
                <w:sz w:val="24"/>
              </w:rPr>
              <w:t>第（ ）页</w:t>
            </w:r>
            <w:r>
              <w:rPr>
                <w:rFonts w:hint="eastAsia" w:ascii="宋体" w:hAnsi="宋体"/>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56" w:type="dxa"/>
            <w:vAlign w:val="center"/>
          </w:tcPr>
          <w:p>
            <w:pPr>
              <w:numPr>
                <w:ilvl w:val="0"/>
                <w:numId w:val="46"/>
              </w:numPr>
              <w:adjustRightInd w:val="0"/>
              <w:snapToGrid w:val="0"/>
              <w:spacing w:line="264" w:lineRule="auto"/>
              <w:rPr>
                <w:rFonts w:ascii="宋体" w:hAnsi="宋体"/>
                <w:sz w:val="24"/>
              </w:rPr>
            </w:pPr>
          </w:p>
        </w:tc>
        <w:tc>
          <w:tcPr>
            <w:tcW w:w="2578" w:type="dxa"/>
            <w:vAlign w:val="center"/>
          </w:tcPr>
          <w:p>
            <w:pPr>
              <w:adjustRightInd w:val="0"/>
              <w:snapToGrid w:val="0"/>
              <w:spacing w:line="288" w:lineRule="auto"/>
              <w:jc w:val="center"/>
              <w:rPr>
                <w:rFonts w:ascii="宋体" w:hAnsi="宋体"/>
                <w:sz w:val="24"/>
              </w:rPr>
            </w:pPr>
            <w:r>
              <w:rPr>
                <w:rFonts w:hint="eastAsia" w:ascii="宋体" w:hAnsi="宋体"/>
                <w:sz w:val="24"/>
              </w:rPr>
              <w:t>供应能力</w:t>
            </w:r>
          </w:p>
        </w:tc>
        <w:tc>
          <w:tcPr>
            <w:tcW w:w="2907" w:type="dxa"/>
            <w:vAlign w:val="center"/>
          </w:tcPr>
          <w:p>
            <w:pPr>
              <w:adjustRightInd w:val="0"/>
              <w:snapToGrid w:val="0"/>
              <w:spacing w:line="264" w:lineRule="auto"/>
              <w:jc w:val="left"/>
              <w:rPr>
                <w:rFonts w:asciiTheme="minorEastAsia" w:hAnsiTheme="minorEastAsia" w:eastAsiaTheme="minorEastAsia"/>
                <w:sz w:val="24"/>
              </w:rPr>
            </w:pPr>
          </w:p>
        </w:tc>
        <w:tc>
          <w:tcPr>
            <w:tcW w:w="3155" w:type="dxa"/>
            <w:vAlign w:val="center"/>
          </w:tcPr>
          <w:p>
            <w:pPr>
              <w:adjustRightInd w:val="0"/>
              <w:snapToGrid w:val="0"/>
              <w:spacing w:line="264" w:lineRule="auto"/>
              <w:jc w:val="center"/>
              <w:rPr>
                <w:rFonts w:asciiTheme="minorEastAsia" w:hAnsiTheme="minorEastAsia" w:eastAsiaTheme="minorEastAsia"/>
                <w:sz w:val="24"/>
              </w:rPr>
            </w:pPr>
            <w:r>
              <w:rPr>
                <w:rFonts w:hint="eastAsia" w:asciiTheme="minorEastAsia" w:hAnsiTheme="minorEastAsia" w:eastAsiaTheme="minorEastAsia"/>
                <w:sz w:val="24"/>
              </w:rPr>
              <w:t>第（ ）页</w:t>
            </w:r>
            <w:r>
              <w:rPr>
                <w:rFonts w:hint="eastAsia" w:ascii="宋体" w:hAnsi="宋体"/>
                <w:sz w:val="24"/>
              </w:rPr>
              <w:t>-（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9396" w:type="dxa"/>
            <w:gridSpan w:val="4"/>
            <w:vAlign w:val="center"/>
          </w:tcPr>
          <w:p>
            <w:pPr>
              <w:adjustRightInd w:val="0"/>
              <w:snapToGrid w:val="0"/>
              <w:spacing w:line="264" w:lineRule="auto"/>
              <w:jc w:val="center"/>
              <w:rPr>
                <w:rFonts w:ascii="宋体" w:hAnsi="宋体"/>
                <w:b/>
                <w:szCs w:val="21"/>
              </w:rPr>
            </w:pPr>
            <w:r>
              <w:rPr>
                <w:rFonts w:hint="eastAsia" w:asciiTheme="minorEastAsia" w:hAnsiTheme="minorEastAsia" w:eastAsiaTheme="minorEastAsia"/>
                <w:bCs/>
                <w:sz w:val="24"/>
              </w:rPr>
              <w:t>其他内容资料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756" w:type="dxa"/>
            <w:vAlign w:val="center"/>
          </w:tcPr>
          <w:p>
            <w:pPr>
              <w:numPr>
                <w:ilvl w:val="0"/>
                <w:numId w:val="47"/>
              </w:numPr>
              <w:adjustRightInd w:val="0"/>
              <w:snapToGrid w:val="0"/>
              <w:spacing w:line="264" w:lineRule="auto"/>
              <w:rPr>
                <w:rFonts w:ascii="宋体" w:hAnsi="宋体"/>
                <w:sz w:val="24"/>
              </w:rPr>
            </w:pPr>
          </w:p>
        </w:tc>
        <w:tc>
          <w:tcPr>
            <w:tcW w:w="5485" w:type="dxa"/>
            <w:gridSpan w:val="2"/>
            <w:vAlign w:val="center"/>
          </w:tcPr>
          <w:p>
            <w:pPr>
              <w:adjustRightInd w:val="0"/>
              <w:snapToGrid w:val="0"/>
              <w:spacing w:line="264" w:lineRule="auto"/>
              <w:rPr>
                <w:rFonts w:hAnsi="宋体" w:cs="Courier New"/>
                <w:kern w:val="0"/>
                <w:sz w:val="24"/>
              </w:rPr>
            </w:pPr>
            <w:r>
              <w:rPr>
                <w:rFonts w:hint="eastAsia" w:hAnsi="宋体" w:cs="Courier New"/>
                <w:kern w:val="0"/>
                <w:sz w:val="24"/>
              </w:rPr>
              <w:t>采购代理服务费承诺书</w:t>
            </w:r>
          </w:p>
        </w:tc>
        <w:tc>
          <w:tcPr>
            <w:tcW w:w="3155" w:type="dxa"/>
            <w:vAlign w:val="center"/>
          </w:tcPr>
          <w:p>
            <w:pPr>
              <w:adjustRightInd w:val="0"/>
              <w:snapToGrid w:val="0"/>
              <w:spacing w:line="264" w:lineRule="auto"/>
              <w:jc w:val="center"/>
              <w:rPr>
                <w:rFonts w:ascii="宋体" w:hAnsi="宋体"/>
                <w:sz w:val="24"/>
              </w:rPr>
            </w:pPr>
            <w:r>
              <w:rPr>
                <w:rFonts w:hint="eastAsia" w:asciiTheme="minorEastAsia" w:hAnsiTheme="minorEastAsia" w:eastAsiaTheme="minorEastAsia"/>
                <w:sz w:val="24"/>
              </w:rPr>
              <w:t>第（ ）页</w:t>
            </w:r>
          </w:p>
        </w:tc>
      </w:tr>
    </w:tbl>
    <w:p>
      <w:pPr>
        <w:widowControl/>
        <w:jc w:val="left"/>
        <w:rPr>
          <w:rFonts w:ascii="Arial" w:hAnsi="Arial" w:eastAsia="黑体"/>
          <w:bCs/>
          <w:sz w:val="32"/>
          <w:szCs w:val="32"/>
        </w:rPr>
      </w:pPr>
      <w:bookmarkStart w:id="60" w:name="_Toc435514865"/>
      <w:bookmarkStart w:id="61" w:name="_Toc435515305"/>
    </w:p>
    <w:p>
      <w:pPr>
        <w:widowControl/>
        <w:jc w:val="left"/>
        <w:rPr>
          <w:rFonts w:ascii="Arial" w:hAnsi="Arial" w:eastAsia="黑体"/>
          <w:bCs/>
          <w:sz w:val="32"/>
          <w:szCs w:val="32"/>
        </w:rPr>
      </w:pPr>
      <w:r>
        <w:rPr>
          <w:rFonts w:ascii="Arial" w:hAnsi="Arial" w:eastAsia="黑体"/>
          <w:bCs/>
          <w:sz w:val="32"/>
          <w:szCs w:val="32"/>
        </w:rPr>
        <w:br w:type="page"/>
      </w:r>
    </w:p>
    <w:p>
      <w:pPr>
        <w:pStyle w:val="101"/>
        <w:numPr>
          <w:ilvl w:val="0"/>
          <w:numId w:val="42"/>
        </w:numPr>
        <w:adjustRightInd w:val="0"/>
        <w:snapToGrid w:val="0"/>
        <w:spacing w:line="360" w:lineRule="auto"/>
        <w:ind w:firstLineChars="0"/>
        <w:jc w:val="center"/>
        <w:rPr>
          <w:rFonts w:ascii="宋体" w:hAnsi="宋体"/>
          <w:b/>
          <w:sz w:val="30"/>
          <w:szCs w:val="30"/>
        </w:rPr>
      </w:pPr>
      <w:r>
        <w:rPr>
          <w:rFonts w:hint="eastAsia" w:ascii="宋体" w:hAnsi="宋体"/>
          <w:b/>
          <w:sz w:val="30"/>
          <w:szCs w:val="30"/>
        </w:rPr>
        <w:t>用户需求书条款响应表</w:t>
      </w:r>
    </w:p>
    <w:tbl>
      <w:tblPr>
        <w:tblStyle w:val="55"/>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jc w:val="left"/>
              <w:rPr>
                <w:rFonts w:ascii="宋体" w:hAnsi="宋体" w:cs="宋体"/>
                <w:b/>
                <w:szCs w:val="21"/>
              </w:rPr>
            </w:pPr>
            <w:r>
              <w:rPr>
                <w:rFonts w:hint="eastAsia" w:ascii="宋体" w:hAnsi="宋体" w:cs="宋体"/>
                <w:b/>
                <w:szCs w:val="21"/>
              </w:rPr>
              <w:t>序号</w:t>
            </w:r>
          </w:p>
        </w:tc>
        <w:tc>
          <w:tcPr>
            <w:tcW w:w="1716" w:type="dxa"/>
            <w:vAlign w:val="center"/>
          </w:tcPr>
          <w:p>
            <w:pPr>
              <w:jc w:val="center"/>
              <w:rPr>
                <w:rFonts w:ascii="宋体" w:hAnsi="宋体" w:cs="宋体"/>
                <w:b/>
                <w:szCs w:val="21"/>
              </w:rPr>
            </w:pPr>
            <w:r>
              <w:rPr>
                <w:rFonts w:hint="eastAsia" w:ascii="宋体" w:hAnsi="宋体" w:cs="宋体"/>
                <w:b/>
                <w:szCs w:val="21"/>
              </w:rPr>
              <w:t>用户需求书条款</w:t>
            </w:r>
          </w:p>
        </w:tc>
        <w:tc>
          <w:tcPr>
            <w:tcW w:w="3207" w:type="dxa"/>
            <w:vAlign w:val="center"/>
          </w:tcPr>
          <w:p>
            <w:pPr>
              <w:jc w:val="center"/>
              <w:rPr>
                <w:rFonts w:ascii="宋体" w:hAnsi="宋体" w:cs="宋体"/>
                <w:b/>
                <w:szCs w:val="21"/>
              </w:rPr>
            </w:pPr>
            <w:r>
              <w:rPr>
                <w:rFonts w:hint="eastAsia" w:ascii="宋体" w:hAnsi="宋体" w:cs="宋体"/>
                <w:b/>
                <w:szCs w:val="21"/>
              </w:rPr>
              <w:t>响应内容</w:t>
            </w:r>
          </w:p>
          <w:p>
            <w:pPr>
              <w:jc w:val="left"/>
              <w:rPr>
                <w:rFonts w:ascii="宋体" w:hAnsi="宋体" w:cs="宋体"/>
                <w:b/>
                <w:szCs w:val="21"/>
              </w:rPr>
            </w:pPr>
            <w:r>
              <w:rPr>
                <w:rFonts w:hint="eastAsia" w:ascii="宋体" w:hAnsi="宋体" w:cs="宋体"/>
                <w:b/>
                <w:bCs/>
                <w:szCs w:val="21"/>
              </w:rPr>
              <w:t>(投标人应按投标实际情况填写)</w:t>
            </w:r>
          </w:p>
        </w:tc>
        <w:tc>
          <w:tcPr>
            <w:tcW w:w="1890" w:type="dxa"/>
            <w:vAlign w:val="center"/>
          </w:tcPr>
          <w:p>
            <w:pPr>
              <w:jc w:val="left"/>
              <w:rPr>
                <w:rFonts w:ascii="宋体" w:hAnsi="宋体" w:cs="宋体"/>
                <w:b/>
                <w:szCs w:val="21"/>
              </w:rPr>
            </w:pPr>
            <w:r>
              <w:rPr>
                <w:rFonts w:hint="eastAsia" w:ascii="宋体" w:hAnsi="宋体" w:cs="宋体"/>
                <w:b/>
                <w:szCs w:val="21"/>
              </w:rPr>
              <w:t>是否偏离（无偏离/正偏离/负偏离）</w:t>
            </w:r>
          </w:p>
        </w:tc>
        <w:tc>
          <w:tcPr>
            <w:tcW w:w="1157" w:type="dxa"/>
            <w:vAlign w:val="center"/>
          </w:tcPr>
          <w:p>
            <w:pPr>
              <w:jc w:val="left"/>
              <w:rPr>
                <w:rFonts w:ascii="宋体" w:hAnsi="宋体" w:cs="宋体"/>
                <w:b/>
                <w:szCs w:val="21"/>
              </w:rPr>
            </w:pPr>
            <w:r>
              <w:rPr>
                <w:rFonts w:hint="eastAsia" w:ascii="宋体" w:hAnsi="宋体" w:cs="宋体"/>
                <w:b/>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1</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2</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3</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4</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5</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6</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7</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8</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bl>
    <w:p>
      <w:pPr>
        <w:ind w:left="2" w:hanging="2"/>
        <w:rPr>
          <w:rFonts w:ascii="宋体" w:hAnsi="宋体" w:cs="宋体"/>
          <w:sz w:val="24"/>
        </w:rPr>
      </w:pPr>
    </w:p>
    <w:p>
      <w:pPr>
        <w:ind w:left="2" w:hanging="2"/>
        <w:rPr>
          <w:rFonts w:ascii="宋体" w:hAnsi="宋体" w:cs="宋体"/>
          <w:sz w:val="24"/>
        </w:rPr>
      </w:pPr>
      <w:r>
        <w:rPr>
          <w:rFonts w:hint="eastAsia" w:ascii="宋体" w:hAnsi="宋体" w:cs="宋体"/>
          <w:sz w:val="24"/>
        </w:rPr>
        <w:t>注：</w:t>
      </w:r>
    </w:p>
    <w:p>
      <w:pPr>
        <w:numPr>
          <w:ilvl w:val="0"/>
          <w:numId w:val="48"/>
        </w:numPr>
        <w:spacing w:line="360" w:lineRule="auto"/>
        <w:ind w:firstLine="480" w:firstLineChars="200"/>
        <w:rPr>
          <w:rFonts w:ascii="宋体" w:hAnsi="宋体" w:cs="宋体"/>
          <w:sz w:val="24"/>
          <w:lang w:val="en-GB"/>
        </w:rPr>
      </w:pPr>
      <w:r>
        <w:rPr>
          <w:rFonts w:hint="eastAsia" w:ascii="宋体" w:hAnsi="宋体" w:cs="宋体"/>
          <w:sz w:val="24"/>
          <w:lang w:val="en-GB"/>
        </w:rPr>
        <w:t>投标人必须对应招标文件“用户需求书”的内容响应。</w:t>
      </w:r>
    </w:p>
    <w:p>
      <w:pPr>
        <w:pStyle w:val="21"/>
      </w:pPr>
    </w:p>
    <w:p>
      <w:pPr>
        <w:spacing w:line="500" w:lineRule="exact"/>
        <w:rPr>
          <w:rFonts w:ascii="宋体" w:hAnsi="宋体"/>
          <w:sz w:val="24"/>
          <w:u w:val="single"/>
        </w:rPr>
      </w:pPr>
      <w:r>
        <w:rPr>
          <w:rFonts w:hint="eastAsia"/>
          <w:spacing w:val="4"/>
          <w:sz w:val="24"/>
        </w:rPr>
        <w:t>投标人名称（</w:t>
      </w:r>
      <w:r>
        <w:rPr>
          <w:rFonts w:hint="eastAsia" w:ascii="宋体" w:hAnsi="宋体"/>
          <w:sz w:val="24"/>
        </w:rPr>
        <w:t>单位盖</w:t>
      </w:r>
      <w:r>
        <w:rPr>
          <w:rFonts w:hint="eastAsia"/>
          <w:spacing w:val="4"/>
          <w:sz w:val="24"/>
        </w:rPr>
        <w:t>公章）：</w:t>
      </w:r>
    </w:p>
    <w:p>
      <w:pPr>
        <w:spacing w:line="520" w:lineRule="exact"/>
        <w:rPr>
          <w:spacing w:val="4"/>
          <w:sz w:val="24"/>
        </w:rPr>
      </w:pPr>
      <w:r>
        <w:rPr>
          <w:rFonts w:hint="eastAsia" w:ascii="宋体"/>
          <w:sz w:val="24"/>
        </w:rPr>
        <w:t>法定代表人或</w:t>
      </w:r>
      <w:r>
        <w:rPr>
          <w:rFonts w:hint="eastAsia" w:ascii="宋体" w:hAnsi="宋体"/>
          <w:sz w:val="24"/>
        </w:rPr>
        <w:t>投标人授权代表（签名或盖个人名章）：</w:t>
      </w:r>
    </w:p>
    <w:p>
      <w:pPr>
        <w:spacing w:line="520" w:lineRule="exact"/>
        <w:rPr>
          <w:spacing w:val="4"/>
          <w:sz w:val="24"/>
        </w:rPr>
      </w:pPr>
      <w:r>
        <w:rPr>
          <w:rFonts w:hint="eastAsia"/>
          <w:spacing w:val="4"/>
          <w:sz w:val="24"/>
        </w:rPr>
        <w:t>日期：</w:t>
      </w:r>
    </w:p>
    <w:p>
      <w:pPr>
        <w:pStyle w:val="196"/>
        <w:rPr>
          <w:rFonts w:ascii="宋体" w:hAnsi="宋体" w:cs="宋体"/>
          <w:b/>
          <w:szCs w:val="21"/>
        </w:rPr>
      </w:pPr>
    </w:p>
    <w:p>
      <w:pPr>
        <w:widowControl/>
        <w:jc w:val="left"/>
        <w:rPr>
          <w:rFonts w:ascii="宋体" w:hAnsi="宋体" w:cs="宋体"/>
          <w:b/>
        </w:rPr>
        <w:sectPr>
          <w:pgSz w:w="11906" w:h="16838"/>
          <w:pgMar w:top="1440" w:right="1286" w:bottom="1440" w:left="1440" w:header="851" w:footer="992" w:gutter="0"/>
          <w:cols w:space="720" w:num="1"/>
          <w:docGrid w:type="lines" w:linePitch="312" w:charSpace="0"/>
        </w:sectPr>
      </w:pPr>
    </w:p>
    <w:bookmarkEnd w:id="60"/>
    <w:bookmarkEnd w:id="61"/>
    <w:p>
      <w:pPr>
        <w:pStyle w:val="101"/>
        <w:numPr>
          <w:ilvl w:val="0"/>
          <w:numId w:val="42"/>
        </w:numPr>
        <w:adjustRightInd w:val="0"/>
        <w:snapToGrid w:val="0"/>
        <w:spacing w:line="360" w:lineRule="auto"/>
        <w:ind w:firstLineChars="0"/>
        <w:jc w:val="center"/>
        <w:rPr>
          <w:rFonts w:ascii="宋体" w:hAnsi="宋体"/>
          <w:b/>
          <w:sz w:val="30"/>
          <w:szCs w:val="30"/>
        </w:rPr>
      </w:pPr>
      <w:r>
        <w:rPr>
          <w:rFonts w:hint="eastAsia" w:ascii="宋体" w:hAnsi="宋体"/>
          <w:b/>
          <w:sz w:val="30"/>
          <w:szCs w:val="30"/>
        </w:rPr>
        <w:t>合同条款响应表</w:t>
      </w:r>
    </w:p>
    <w:tbl>
      <w:tblPr>
        <w:tblStyle w:val="55"/>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jc w:val="left"/>
              <w:rPr>
                <w:rFonts w:ascii="宋体" w:hAnsi="宋体" w:cs="宋体"/>
                <w:b/>
                <w:szCs w:val="21"/>
              </w:rPr>
            </w:pPr>
            <w:r>
              <w:rPr>
                <w:rFonts w:hint="eastAsia" w:ascii="宋体" w:hAnsi="宋体" w:cs="宋体"/>
                <w:b/>
                <w:szCs w:val="21"/>
              </w:rPr>
              <w:t>序号</w:t>
            </w:r>
          </w:p>
        </w:tc>
        <w:tc>
          <w:tcPr>
            <w:tcW w:w="1716" w:type="dxa"/>
            <w:vAlign w:val="center"/>
          </w:tcPr>
          <w:p>
            <w:pPr>
              <w:jc w:val="center"/>
              <w:rPr>
                <w:rFonts w:ascii="宋体" w:hAnsi="宋体" w:cs="宋体"/>
                <w:b/>
                <w:szCs w:val="21"/>
              </w:rPr>
            </w:pPr>
            <w:r>
              <w:rPr>
                <w:rFonts w:hint="eastAsia" w:ascii="宋体" w:hAnsi="宋体" w:cs="宋体"/>
                <w:b/>
                <w:szCs w:val="21"/>
              </w:rPr>
              <w:t>合同条款</w:t>
            </w:r>
          </w:p>
        </w:tc>
        <w:tc>
          <w:tcPr>
            <w:tcW w:w="3207" w:type="dxa"/>
            <w:vAlign w:val="center"/>
          </w:tcPr>
          <w:p>
            <w:pPr>
              <w:jc w:val="center"/>
              <w:rPr>
                <w:rFonts w:ascii="宋体" w:hAnsi="宋体" w:cs="宋体"/>
                <w:b/>
                <w:szCs w:val="21"/>
              </w:rPr>
            </w:pPr>
            <w:r>
              <w:rPr>
                <w:rFonts w:hint="eastAsia" w:ascii="宋体" w:hAnsi="宋体" w:cs="宋体"/>
                <w:b/>
                <w:szCs w:val="21"/>
              </w:rPr>
              <w:t>响应内容</w:t>
            </w:r>
          </w:p>
          <w:p>
            <w:pPr>
              <w:jc w:val="left"/>
              <w:rPr>
                <w:rFonts w:ascii="宋体" w:hAnsi="宋体" w:cs="宋体"/>
                <w:b/>
                <w:szCs w:val="21"/>
              </w:rPr>
            </w:pPr>
            <w:r>
              <w:rPr>
                <w:rFonts w:hint="eastAsia" w:ascii="宋体" w:hAnsi="宋体" w:cs="宋体"/>
                <w:b/>
                <w:bCs/>
                <w:szCs w:val="21"/>
              </w:rPr>
              <w:t>(投标人应按投标实际情况填写)</w:t>
            </w:r>
          </w:p>
        </w:tc>
        <w:tc>
          <w:tcPr>
            <w:tcW w:w="1890" w:type="dxa"/>
            <w:vAlign w:val="center"/>
          </w:tcPr>
          <w:p>
            <w:pPr>
              <w:jc w:val="left"/>
              <w:rPr>
                <w:rFonts w:ascii="宋体" w:hAnsi="宋体" w:cs="宋体"/>
                <w:b/>
                <w:szCs w:val="21"/>
              </w:rPr>
            </w:pPr>
            <w:r>
              <w:rPr>
                <w:rFonts w:hint="eastAsia" w:ascii="宋体" w:hAnsi="宋体" w:cs="宋体"/>
                <w:b/>
                <w:szCs w:val="21"/>
              </w:rPr>
              <w:t>是否偏离（无偏离/正偏离/负偏离）</w:t>
            </w:r>
          </w:p>
        </w:tc>
        <w:tc>
          <w:tcPr>
            <w:tcW w:w="1157" w:type="dxa"/>
            <w:vAlign w:val="center"/>
          </w:tcPr>
          <w:p>
            <w:pPr>
              <w:jc w:val="left"/>
              <w:rPr>
                <w:rFonts w:ascii="宋体" w:hAnsi="宋体" w:cs="宋体"/>
                <w:b/>
                <w:szCs w:val="21"/>
              </w:rPr>
            </w:pPr>
            <w:r>
              <w:rPr>
                <w:rFonts w:hint="eastAsia" w:ascii="宋体" w:hAnsi="宋体" w:cs="宋体"/>
                <w:b/>
                <w:szCs w:val="21"/>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1</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2</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3</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4</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5</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6</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7</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8</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rFonts w:ascii="宋体" w:hAnsi="宋体" w:cs="宋体"/>
                <w:szCs w:val="21"/>
              </w:rPr>
            </w:pPr>
            <w:r>
              <w:rPr>
                <w:rFonts w:hint="eastAsia" w:ascii="宋体" w:hAnsi="宋体" w:cs="宋体"/>
                <w:szCs w:val="21"/>
              </w:rPr>
              <w:t>…</w:t>
            </w:r>
          </w:p>
        </w:tc>
        <w:tc>
          <w:tcPr>
            <w:tcW w:w="1716" w:type="dxa"/>
          </w:tcPr>
          <w:p>
            <w:pPr>
              <w:jc w:val="center"/>
              <w:rPr>
                <w:rFonts w:ascii="宋体" w:hAnsi="宋体" w:cs="宋体"/>
                <w:szCs w:val="21"/>
              </w:rPr>
            </w:pPr>
          </w:p>
        </w:tc>
        <w:tc>
          <w:tcPr>
            <w:tcW w:w="3207" w:type="dxa"/>
          </w:tcPr>
          <w:p>
            <w:pPr>
              <w:rPr>
                <w:rFonts w:ascii="宋体" w:hAnsi="宋体" w:cs="宋体"/>
                <w:szCs w:val="21"/>
              </w:rPr>
            </w:pPr>
          </w:p>
        </w:tc>
        <w:tc>
          <w:tcPr>
            <w:tcW w:w="1890" w:type="dxa"/>
          </w:tcPr>
          <w:p>
            <w:pPr>
              <w:rPr>
                <w:rFonts w:ascii="宋体" w:hAnsi="宋体" w:cs="宋体"/>
                <w:szCs w:val="21"/>
              </w:rPr>
            </w:pPr>
          </w:p>
        </w:tc>
        <w:tc>
          <w:tcPr>
            <w:tcW w:w="1157" w:type="dxa"/>
          </w:tcPr>
          <w:p>
            <w:pPr>
              <w:rPr>
                <w:rFonts w:ascii="宋体" w:hAnsi="宋体" w:cs="宋体"/>
                <w:szCs w:val="21"/>
              </w:rPr>
            </w:pPr>
          </w:p>
        </w:tc>
      </w:tr>
    </w:tbl>
    <w:p>
      <w:pPr>
        <w:ind w:left="2" w:hanging="2"/>
        <w:rPr>
          <w:rFonts w:ascii="宋体" w:hAnsi="宋体" w:cs="宋体"/>
          <w:sz w:val="24"/>
        </w:rPr>
      </w:pPr>
    </w:p>
    <w:p>
      <w:pPr>
        <w:ind w:left="2" w:hanging="2"/>
        <w:rPr>
          <w:rFonts w:ascii="宋体" w:hAnsi="宋体" w:cs="宋体"/>
          <w:sz w:val="24"/>
        </w:rPr>
      </w:pPr>
      <w:r>
        <w:rPr>
          <w:rFonts w:hint="eastAsia" w:ascii="宋体" w:hAnsi="宋体" w:cs="宋体"/>
          <w:sz w:val="24"/>
        </w:rPr>
        <w:t>注：</w:t>
      </w:r>
    </w:p>
    <w:p>
      <w:pPr>
        <w:numPr>
          <w:ilvl w:val="0"/>
          <w:numId w:val="49"/>
        </w:numPr>
        <w:spacing w:line="360" w:lineRule="auto"/>
        <w:ind w:firstLine="480" w:firstLineChars="200"/>
        <w:rPr>
          <w:rFonts w:ascii="宋体" w:hAnsi="宋体" w:cs="宋体"/>
          <w:sz w:val="24"/>
          <w:lang w:val="en-GB"/>
        </w:rPr>
      </w:pPr>
      <w:r>
        <w:rPr>
          <w:rFonts w:hint="eastAsia" w:ascii="宋体" w:hAnsi="宋体" w:cs="宋体"/>
          <w:sz w:val="24"/>
          <w:lang w:val="en-GB"/>
        </w:rPr>
        <w:t>投标人必须对应招标文件“</w:t>
      </w:r>
      <w:r>
        <w:rPr>
          <w:rFonts w:hint="eastAsia" w:ascii="宋体" w:hAnsi="宋体" w:cs="宋体"/>
          <w:sz w:val="24"/>
        </w:rPr>
        <w:t>合同格式条款</w:t>
      </w:r>
      <w:r>
        <w:rPr>
          <w:rFonts w:hint="eastAsia" w:ascii="宋体" w:hAnsi="宋体" w:cs="宋体"/>
          <w:sz w:val="24"/>
          <w:lang w:val="en-GB"/>
        </w:rPr>
        <w:t>”的内容响应。</w:t>
      </w:r>
    </w:p>
    <w:p>
      <w:pPr>
        <w:pStyle w:val="21"/>
      </w:pPr>
    </w:p>
    <w:p>
      <w:pPr>
        <w:spacing w:line="500" w:lineRule="exact"/>
        <w:rPr>
          <w:rFonts w:ascii="宋体" w:hAnsi="宋体"/>
          <w:sz w:val="24"/>
          <w:u w:val="single"/>
        </w:rPr>
      </w:pPr>
      <w:r>
        <w:rPr>
          <w:rFonts w:hint="eastAsia"/>
          <w:spacing w:val="4"/>
          <w:sz w:val="24"/>
        </w:rPr>
        <w:t>投标人名称（</w:t>
      </w:r>
      <w:r>
        <w:rPr>
          <w:rFonts w:hint="eastAsia" w:ascii="宋体" w:hAnsi="宋体"/>
          <w:sz w:val="24"/>
        </w:rPr>
        <w:t>单位盖</w:t>
      </w:r>
      <w:r>
        <w:rPr>
          <w:rFonts w:hint="eastAsia"/>
          <w:spacing w:val="4"/>
          <w:sz w:val="24"/>
        </w:rPr>
        <w:t>公章）：</w:t>
      </w:r>
    </w:p>
    <w:p>
      <w:pPr>
        <w:spacing w:line="520" w:lineRule="exact"/>
        <w:rPr>
          <w:spacing w:val="4"/>
          <w:sz w:val="24"/>
        </w:rPr>
      </w:pPr>
      <w:r>
        <w:rPr>
          <w:rFonts w:hint="eastAsia" w:ascii="宋体"/>
          <w:sz w:val="24"/>
        </w:rPr>
        <w:t>法定代表人或</w:t>
      </w:r>
      <w:r>
        <w:rPr>
          <w:rFonts w:hint="eastAsia" w:ascii="宋体" w:hAnsi="宋体"/>
          <w:sz w:val="24"/>
        </w:rPr>
        <w:t>投标人授权代表（签名或盖个人名章）：</w:t>
      </w:r>
    </w:p>
    <w:p>
      <w:pPr>
        <w:spacing w:line="520" w:lineRule="exact"/>
        <w:rPr>
          <w:spacing w:val="4"/>
          <w:sz w:val="24"/>
        </w:rPr>
      </w:pPr>
      <w:r>
        <w:rPr>
          <w:rFonts w:hint="eastAsia"/>
          <w:spacing w:val="4"/>
          <w:sz w:val="24"/>
        </w:rPr>
        <w:t>日期：</w:t>
      </w:r>
    </w:p>
    <w:p>
      <w:pPr>
        <w:tabs>
          <w:tab w:val="left" w:pos="426"/>
        </w:tabs>
        <w:autoSpaceDE w:val="0"/>
        <w:autoSpaceDN w:val="0"/>
        <w:adjustRightInd w:val="0"/>
        <w:spacing w:line="360" w:lineRule="auto"/>
        <w:jc w:val="center"/>
        <w:outlineLvl w:val="3"/>
        <w:rPr>
          <w:rFonts w:ascii="黑体" w:hAnsi="黑体" w:eastAsia="黑体"/>
          <w:sz w:val="32"/>
          <w:szCs w:val="32"/>
        </w:rPr>
        <w:sectPr>
          <w:pgSz w:w="11906" w:h="16838"/>
          <w:pgMar w:top="1440" w:right="1286" w:bottom="1440" w:left="1440" w:header="851" w:footer="992" w:gutter="0"/>
          <w:cols w:space="0" w:num="1"/>
          <w:docGrid w:type="lines" w:linePitch="317" w:charSpace="0"/>
        </w:sectPr>
      </w:pPr>
    </w:p>
    <w:p>
      <w:pPr>
        <w:tabs>
          <w:tab w:val="left" w:pos="426"/>
        </w:tabs>
        <w:autoSpaceDE w:val="0"/>
        <w:autoSpaceDN w:val="0"/>
        <w:adjustRightInd w:val="0"/>
        <w:spacing w:line="360" w:lineRule="auto"/>
        <w:jc w:val="center"/>
        <w:outlineLvl w:val="3"/>
        <w:rPr>
          <w:rFonts w:ascii="黑体" w:hAnsi="黑体" w:eastAsia="黑体"/>
          <w:sz w:val="32"/>
          <w:szCs w:val="32"/>
        </w:rPr>
      </w:pPr>
      <w:r>
        <w:rPr>
          <w:rFonts w:hint="eastAsia" w:ascii="黑体" w:hAnsi="黑体" w:eastAsia="黑体"/>
          <w:sz w:val="32"/>
          <w:szCs w:val="32"/>
        </w:rPr>
        <w:t>开标一览表(报价表)</w:t>
      </w:r>
    </w:p>
    <w:p>
      <w:pPr>
        <w:tabs>
          <w:tab w:val="left" w:pos="7740"/>
        </w:tabs>
        <w:adjustRightInd w:val="0"/>
        <w:snapToGrid w:val="0"/>
        <w:spacing w:line="360" w:lineRule="auto"/>
        <w:rPr>
          <w:rFonts w:ascii="宋体" w:hAnsi="宋体"/>
          <w:b/>
          <w:i/>
          <w:sz w:val="24"/>
        </w:rPr>
      </w:pPr>
      <w:r>
        <w:rPr>
          <w:rFonts w:hint="eastAsia" w:ascii="宋体" w:hAnsi="宋体"/>
          <w:sz w:val="24"/>
        </w:rPr>
        <w:t>项目名称：广州市白云城市开发投资集团有限公司2023年9月至2024年8月食材配送服务项目</w:t>
      </w:r>
    </w:p>
    <w:tbl>
      <w:tblPr>
        <w:tblStyle w:val="55"/>
        <w:tblW w:w="99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04"/>
        <w:gridCol w:w="2750"/>
        <w:gridCol w:w="2265"/>
        <w:gridCol w:w="24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2504" w:type="dxa"/>
            <w:tcBorders>
              <w:top w:val="single" w:color="auto" w:sz="12" w:space="0"/>
              <w:bottom w:val="double" w:color="auto" w:sz="4" w:space="0"/>
            </w:tcBorders>
            <w:shd w:val="clear" w:color="auto" w:fill="EEECE1"/>
            <w:vAlign w:val="center"/>
          </w:tcPr>
          <w:p>
            <w:pPr>
              <w:adjustRightInd w:val="0"/>
              <w:snapToGrid w:val="0"/>
              <w:jc w:val="center"/>
              <w:rPr>
                <w:rFonts w:ascii="宋体"/>
                <w:b/>
                <w:sz w:val="24"/>
              </w:rPr>
            </w:pPr>
            <w:r>
              <w:rPr>
                <w:rFonts w:hint="eastAsia" w:ascii="宋体"/>
                <w:b/>
                <w:sz w:val="24"/>
              </w:rPr>
              <w:t>采购内容</w:t>
            </w:r>
          </w:p>
        </w:tc>
        <w:tc>
          <w:tcPr>
            <w:tcW w:w="2750" w:type="dxa"/>
            <w:tcBorders>
              <w:top w:val="single" w:color="auto" w:sz="12" w:space="0"/>
              <w:bottom w:val="double" w:color="auto" w:sz="4" w:space="0"/>
            </w:tcBorders>
            <w:shd w:val="clear" w:color="auto" w:fill="EEECE1"/>
            <w:vAlign w:val="center"/>
          </w:tcPr>
          <w:p>
            <w:pPr>
              <w:adjustRightInd w:val="0"/>
              <w:snapToGrid w:val="0"/>
              <w:jc w:val="center"/>
              <w:rPr>
                <w:rFonts w:ascii="宋体"/>
                <w:b/>
                <w:sz w:val="24"/>
              </w:rPr>
            </w:pPr>
            <w:r>
              <w:rPr>
                <w:rFonts w:hint="eastAsia" w:ascii="宋体"/>
                <w:b/>
                <w:sz w:val="24"/>
              </w:rPr>
              <w:t>总投标报价</w:t>
            </w:r>
          </w:p>
        </w:tc>
        <w:tc>
          <w:tcPr>
            <w:tcW w:w="2265" w:type="dxa"/>
            <w:tcBorders>
              <w:top w:val="single" w:color="auto" w:sz="12" w:space="0"/>
              <w:bottom w:val="double" w:color="auto" w:sz="4" w:space="0"/>
            </w:tcBorders>
            <w:shd w:val="clear" w:color="auto" w:fill="EEECE1"/>
            <w:vAlign w:val="center"/>
          </w:tcPr>
          <w:p>
            <w:pPr>
              <w:adjustRightInd w:val="0"/>
              <w:snapToGrid w:val="0"/>
              <w:jc w:val="center"/>
              <w:rPr>
                <w:rFonts w:ascii="宋体"/>
                <w:b/>
                <w:sz w:val="24"/>
              </w:rPr>
            </w:pPr>
            <w:r>
              <w:rPr>
                <w:rFonts w:hint="eastAsia" w:ascii="宋体"/>
                <w:b/>
                <w:sz w:val="24"/>
              </w:rPr>
              <w:t>每月投标单价</w:t>
            </w:r>
          </w:p>
        </w:tc>
        <w:tc>
          <w:tcPr>
            <w:tcW w:w="2430" w:type="dxa"/>
            <w:tcBorders>
              <w:top w:val="single" w:color="auto" w:sz="12" w:space="0"/>
              <w:bottom w:val="double" w:color="auto" w:sz="4" w:space="0"/>
            </w:tcBorders>
            <w:shd w:val="clear" w:color="auto" w:fill="EEECE1"/>
            <w:vAlign w:val="center"/>
          </w:tcPr>
          <w:p>
            <w:pPr>
              <w:adjustRightInd w:val="0"/>
              <w:snapToGrid w:val="0"/>
              <w:jc w:val="center"/>
              <w:rPr>
                <w:rFonts w:ascii="宋体"/>
                <w:b/>
                <w:sz w:val="24"/>
              </w:rPr>
            </w:pPr>
            <w:r>
              <w:rPr>
                <w:rFonts w:hint="eastAsia" w:ascii="宋体"/>
                <w:b/>
                <w:sz w:val="24"/>
              </w:rPr>
              <w:t>服务期限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2504" w:type="dxa"/>
            <w:tcBorders>
              <w:top w:val="single" w:color="auto" w:sz="4" w:space="0"/>
            </w:tcBorders>
            <w:vAlign w:val="center"/>
          </w:tcPr>
          <w:p>
            <w:pPr>
              <w:adjustRightInd w:val="0"/>
              <w:snapToGrid w:val="0"/>
              <w:jc w:val="center"/>
              <w:rPr>
                <w:rFonts w:ascii="宋体"/>
                <w:bCs/>
                <w:sz w:val="24"/>
              </w:rPr>
            </w:pPr>
            <w:r>
              <w:rPr>
                <w:rFonts w:hint="eastAsia" w:ascii="宋体" w:hAnsi="宋体"/>
                <w:sz w:val="24"/>
              </w:rPr>
              <w:t>广州市白云城市开发投资集团有限公司2023年9月至2024年8月食材配送服务项目</w:t>
            </w:r>
          </w:p>
        </w:tc>
        <w:tc>
          <w:tcPr>
            <w:tcW w:w="2750" w:type="dxa"/>
            <w:tcBorders>
              <w:top w:val="single" w:color="auto" w:sz="4" w:space="0"/>
            </w:tcBorders>
            <w:vAlign w:val="center"/>
          </w:tcPr>
          <w:p>
            <w:pPr>
              <w:adjustRightInd w:val="0"/>
              <w:snapToGrid w:val="0"/>
              <w:jc w:val="left"/>
              <w:rPr>
                <w:rFonts w:ascii="宋体" w:hAnsi="宋体"/>
                <w:sz w:val="24"/>
              </w:rPr>
            </w:pPr>
            <w:r>
              <w:rPr>
                <w:rFonts w:hint="eastAsia" w:ascii="宋体" w:hAnsi="宋体"/>
                <w:sz w:val="24"/>
              </w:rPr>
              <w:t>大写：</w:t>
            </w:r>
          </w:p>
          <w:p>
            <w:pPr>
              <w:adjustRightInd w:val="0"/>
              <w:snapToGrid w:val="0"/>
              <w:jc w:val="left"/>
              <w:rPr>
                <w:rFonts w:ascii="宋体" w:hAnsi="宋体"/>
                <w:sz w:val="24"/>
              </w:rPr>
            </w:pPr>
          </w:p>
          <w:p>
            <w:pPr>
              <w:adjustRightInd w:val="0"/>
              <w:snapToGrid w:val="0"/>
              <w:jc w:val="left"/>
              <w:rPr>
                <w:rFonts w:ascii="宋体" w:hAnsi="宋体"/>
                <w:sz w:val="24"/>
              </w:rPr>
            </w:pPr>
            <w:r>
              <w:rPr>
                <w:rFonts w:hint="eastAsia" w:ascii="宋体" w:hAnsi="宋体"/>
                <w:sz w:val="24"/>
              </w:rPr>
              <w:t>小写：</w:t>
            </w:r>
          </w:p>
          <w:p>
            <w:pPr>
              <w:adjustRightInd w:val="0"/>
              <w:snapToGrid w:val="0"/>
              <w:jc w:val="left"/>
              <w:rPr>
                <w:rFonts w:ascii="宋体" w:hAnsi="宋体"/>
                <w:sz w:val="24"/>
              </w:rPr>
            </w:pPr>
          </w:p>
          <w:p>
            <w:pPr>
              <w:adjustRightInd w:val="0"/>
              <w:snapToGrid w:val="0"/>
              <w:jc w:val="left"/>
              <w:rPr>
                <w:rFonts w:ascii="宋体"/>
                <w:bCs/>
                <w:sz w:val="24"/>
              </w:rPr>
            </w:pPr>
            <w:r>
              <w:rPr>
                <w:rFonts w:hint="eastAsia" w:ascii="宋体" w:hAnsi="宋体"/>
                <w:sz w:val="24"/>
              </w:rPr>
              <w:t>投标下浮率：</w:t>
            </w:r>
          </w:p>
        </w:tc>
        <w:tc>
          <w:tcPr>
            <w:tcW w:w="2265" w:type="dxa"/>
            <w:tcBorders>
              <w:top w:val="single" w:color="auto" w:sz="4" w:space="0"/>
            </w:tcBorders>
            <w:vAlign w:val="center"/>
          </w:tcPr>
          <w:p>
            <w:pPr>
              <w:adjustRightInd w:val="0"/>
              <w:snapToGrid w:val="0"/>
              <w:jc w:val="left"/>
              <w:rPr>
                <w:rFonts w:ascii="宋体" w:hAnsi="宋体"/>
                <w:sz w:val="24"/>
              </w:rPr>
            </w:pPr>
            <w:r>
              <w:rPr>
                <w:rFonts w:hint="eastAsia" w:ascii="宋体" w:hAnsi="宋体"/>
                <w:sz w:val="24"/>
              </w:rPr>
              <w:t>大写：</w:t>
            </w:r>
          </w:p>
          <w:p>
            <w:pPr>
              <w:adjustRightInd w:val="0"/>
              <w:snapToGrid w:val="0"/>
              <w:jc w:val="left"/>
              <w:rPr>
                <w:rFonts w:ascii="宋体" w:hAnsi="宋体"/>
                <w:sz w:val="24"/>
              </w:rPr>
            </w:pPr>
          </w:p>
          <w:p>
            <w:pPr>
              <w:adjustRightInd w:val="0"/>
              <w:snapToGrid w:val="0"/>
              <w:jc w:val="left"/>
              <w:rPr>
                <w:rFonts w:ascii="宋体" w:hAnsi="宋体"/>
                <w:sz w:val="24"/>
              </w:rPr>
            </w:pPr>
            <w:r>
              <w:rPr>
                <w:rFonts w:hint="eastAsia" w:ascii="宋体" w:hAnsi="宋体"/>
                <w:sz w:val="24"/>
              </w:rPr>
              <w:t>小写：</w:t>
            </w:r>
          </w:p>
          <w:p>
            <w:pPr>
              <w:adjustRightInd w:val="0"/>
              <w:snapToGrid w:val="0"/>
              <w:jc w:val="left"/>
              <w:rPr>
                <w:rFonts w:ascii="宋体" w:hAnsi="宋体"/>
                <w:sz w:val="24"/>
              </w:rPr>
            </w:pPr>
          </w:p>
          <w:p>
            <w:pPr>
              <w:adjustRightInd w:val="0"/>
              <w:snapToGrid w:val="0"/>
              <w:jc w:val="left"/>
              <w:rPr>
                <w:rFonts w:ascii="宋体" w:hAnsi="宋体"/>
                <w:sz w:val="24"/>
              </w:rPr>
            </w:pPr>
            <w:r>
              <w:rPr>
                <w:rFonts w:hint="eastAsia" w:ascii="宋体" w:hAnsi="宋体"/>
                <w:sz w:val="24"/>
              </w:rPr>
              <w:t>投标下浮率：</w:t>
            </w:r>
          </w:p>
        </w:tc>
        <w:tc>
          <w:tcPr>
            <w:tcW w:w="2430" w:type="dxa"/>
            <w:tcBorders>
              <w:top w:val="single" w:color="auto" w:sz="4" w:space="0"/>
            </w:tcBorders>
            <w:vAlign w:val="center"/>
          </w:tcPr>
          <w:p>
            <w:pPr>
              <w:adjustRightInd w:val="0"/>
              <w:snapToGrid w:val="0"/>
              <w:jc w:val="left"/>
              <w:rPr>
                <w:rFonts w:ascii="宋体"/>
                <w:bCs/>
                <w:sz w:val="24"/>
              </w:rPr>
            </w:pPr>
            <w:r>
              <w:rPr>
                <w:rFonts w:hint="eastAsia" w:ascii="宋体"/>
                <w:bCs/>
                <w:sz w:val="24"/>
              </w:rPr>
              <w:t>服务期限为</w:t>
            </w:r>
            <w:r>
              <w:rPr>
                <w:rFonts w:hint="eastAsia" w:ascii="宋体" w:eastAsiaTheme="minorEastAsia"/>
                <w:bCs/>
                <w:sz w:val="24"/>
              </w:rPr>
              <w:t>1</w:t>
            </w:r>
            <w:r>
              <w:rPr>
                <w:rFonts w:hint="eastAsia" w:ascii="宋体"/>
                <w:bCs/>
                <w:sz w:val="24"/>
              </w:rPr>
              <w:t>年。</w:t>
            </w:r>
          </w:p>
        </w:tc>
      </w:tr>
    </w:tbl>
    <w:p>
      <w:pPr>
        <w:spacing w:line="500" w:lineRule="exact"/>
        <w:rPr>
          <w:spacing w:val="4"/>
          <w:sz w:val="24"/>
        </w:rPr>
      </w:pPr>
    </w:p>
    <w:p>
      <w:pPr>
        <w:spacing w:line="500" w:lineRule="exact"/>
        <w:rPr>
          <w:rFonts w:ascii="宋体" w:hAnsi="宋体"/>
          <w:sz w:val="24"/>
          <w:u w:val="single"/>
        </w:rPr>
      </w:pPr>
      <w:r>
        <w:rPr>
          <w:rFonts w:hint="eastAsia"/>
          <w:spacing w:val="4"/>
          <w:sz w:val="24"/>
        </w:rPr>
        <w:t>投标人名称（</w:t>
      </w:r>
      <w:r>
        <w:rPr>
          <w:rFonts w:hint="eastAsia" w:ascii="宋体" w:hAnsi="宋体"/>
          <w:sz w:val="24"/>
        </w:rPr>
        <w:t>单位盖</w:t>
      </w:r>
      <w:r>
        <w:rPr>
          <w:rFonts w:hint="eastAsia"/>
          <w:spacing w:val="4"/>
          <w:sz w:val="24"/>
        </w:rPr>
        <w:t>公章）：</w:t>
      </w:r>
    </w:p>
    <w:p>
      <w:pPr>
        <w:spacing w:line="520" w:lineRule="exact"/>
        <w:rPr>
          <w:spacing w:val="4"/>
          <w:sz w:val="24"/>
        </w:rPr>
      </w:pPr>
      <w:r>
        <w:rPr>
          <w:rFonts w:hint="eastAsia" w:ascii="宋体"/>
          <w:sz w:val="24"/>
        </w:rPr>
        <w:t>法定代表人或</w:t>
      </w:r>
      <w:r>
        <w:rPr>
          <w:rFonts w:hint="eastAsia" w:ascii="宋体" w:hAnsi="宋体"/>
          <w:sz w:val="24"/>
        </w:rPr>
        <w:t>投标人授权代表（签名或盖个人名章）：</w:t>
      </w:r>
    </w:p>
    <w:p>
      <w:pPr>
        <w:spacing w:line="520" w:lineRule="exact"/>
        <w:rPr>
          <w:spacing w:val="4"/>
          <w:sz w:val="24"/>
        </w:rPr>
      </w:pPr>
      <w:r>
        <w:rPr>
          <w:rFonts w:hint="eastAsia"/>
          <w:spacing w:val="4"/>
          <w:sz w:val="24"/>
        </w:rPr>
        <w:t>日期：</w:t>
      </w:r>
    </w:p>
    <w:p>
      <w:pPr>
        <w:spacing w:line="400" w:lineRule="exact"/>
        <w:rPr>
          <w:rFonts w:ascii="宋体" w:hAnsi="宋体"/>
          <w:b/>
          <w:bCs/>
          <w:sz w:val="24"/>
        </w:rPr>
      </w:pPr>
    </w:p>
    <w:p>
      <w:pPr>
        <w:spacing w:line="360" w:lineRule="auto"/>
        <w:rPr>
          <w:rFonts w:ascii="宋体"/>
          <w:sz w:val="24"/>
        </w:rPr>
      </w:pPr>
      <w:r>
        <w:rPr>
          <w:rFonts w:hint="eastAsia" w:ascii="宋体"/>
          <w:sz w:val="24"/>
        </w:rPr>
        <w:t>注：1.投标人须按要求填写所有信息，不得随意更改本表格式。</w:t>
      </w:r>
    </w:p>
    <w:p>
      <w:pPr>
        <w:numPr>
          <w:ilvl w:val="255"/>
          <w:numId w:val="0"/>
        </w:numPr>
        <w:spacing w:line="360" w:lineRule="auto"/>
        <w:rPr>
          <w:rFonts w:ascii="宋体"/>
          <w:sz w:val="24"/>
        </w:rPr>
      </w:pPr>
      <w:r>
        <w:rPr>
          <w:rFonts w:hint="eastAsia" w:ascii="宋体"/>
          <w:sz w:val="24"/>
        </w:rPr>
        <w:t>2.投标人应报货交采购人指定地点/仓库的人民币含税价(包括但不限于项目的货物价格、配送服务、应向中华人民共和国政府缴纳的增值税和其它税等全部税费以及履行合同所需的费用、所有风险、责任等其他一切隐含及不可预见的费用)。</w:t>
      </w:r>
    </w:p>
    <w:p>
      <w:pPr>
        <w:pStyle w:val="21"/>
        <w:numPr>
          <w:ilvl w:val="255"/>
          <w:numId w:val="0"/>
        </w:numPr>
        <w:spacing w:line="360" w:lineRule="auto"/>
      </w:pPr>
      <w:r>
        <w:rPr>
          <w:rFonts w:hint="eastAsia" w:ascii="宋体"/>
          <w:sz w:val="24"/>
        </w:rPr>
        <w:t>3.投标下浮率=1-</w:t>
      </w:r>
      <w:r>
        <w:rPr>
          <w:rFonts w:hint="eastAsia" w:ascii="宋体"/>
          <w:sz w:val="24"/>
          <w:lang w:val="en-US" w:eastAsia="zh-CN"/>
        </w:rPr>
        <w:t>总</w:t>
      </w:r>
      <w:r>
        <w:rPr>
          <w:rFonts w:hint="eastAsia" w:ascii="宋体"/>
          <w:sz w:val="24"/>
        </w:rPr>
        <w:t>投标报价</w:t>
      </w:r>
      <w:r>
        <w:rPr>
          <w:rFonts w:hint="eastAsia" w:ascii="宋体"/>
          <w:sz w:val="24"/>
          <w:lang w:eastAsia="zh-CN"/>
        </w:rPr>
        <w:t>（</w:t>
      </w:r>
      <w:r>
        <w:rPr>
          <w:rFonts w:hint="eastAsia" w:ascii="宋体"/>
          <w:sz w:val="24"/>
          <w:lang w:val="en-US" w:eastAsia="zh-CN"/>
        </w:rPr>
        <w:t>或每月投标单价</w:t>
      </w:r>
      <w:r>
        <w:rPr>
          <w:rFonts w:hint="eastAsia" w:ascii="宋体"/>
          <w:sz w:val="24"/>
          <w:lang w:eastAsia="zh-CN"/>
        </w:rPr>
        <w:t>）</w:t>
      </w:r>
      <w:r>
        <w:rPr>
          <w:rFonts w:hint="eastAsia" w:ascii="宋体"/>
          <w:sz w:val="24"/>
        </w:rPr>
        <w:t>/最高投标限价（或每月单价限价）×100%</w:t>
      </w:r>
    </w:p>
    <w:p>
      <w:pPr>
        <w:widowControl/>
        <w:jc w:val="left"/>
        <w:rPr>
          <w:sz w:val="24"/>
        </w:rPr>
      </w:pPr>
      <w:r>
        <w:rPr>
          <w:sz w:val="24"/>
        </w:rPr>
        <w:br w:type="page"/>
      </w:r>
    </w:p>
    <w:p>
      <w:pPr>
        <w:tabs>
          <w:tab w:val="left" w:pos="426"/>
        </w:tabs>
        <w:autoSpaceDE w:val="0"/>
        <w:autoSpaceDN w:val="0"/>
        <w:adjustRightInd w:val="0"/>
        <w:spacing w:line="360" w:lineRule="auto"/>
        <w:jc w:val="center"/>
        <w:outlineLvl w:val="3"/>
        <w:rPr>
          <w:rFonts w:ascii="宋体" w:hAnsi="宋体"/>
          <w:b/>
          <w:bCs/>
          <w:szCs w:val="21"/>
        </w:rPr>
        <w:sectPr>
          <w:pgSz w:w="11906" w:h="16838"/>
          <w:pgMar w:top="1440" w:right="1286" w:bottom="1440" w:left="1440" w:header="851" w:footer="992" w:gutter="0"/>
          <w:cols w:space="0" w:num="1"/>
          <w:docGrid w:type="lines" w:linePitch="317" w:charSpace="0"/>
        </w:sectPr>
      </w:pPr>
    </w:p>
    <w:p>
      <w:pPr>
        <w:tabs>
          <w:tab w:val="left" w:pos="426"/>
        </w:tabs>
        <w:autoSpaceDE w:val="0"/>
        <w:autoSpaceDN w:val="0"/>
        <w:adjustRightInd w:val="0"/>
        <w:spacing w:line="360" w:lineRule="auto"/>
        <w:jc w:val="center"/>
        <w:outlineLvl w:val="3"/>
        <w:rPr>
          <w:rFonts w:ascii="黑体" w:hAnsi="黑体" w:eastAsia="黑体"/>
          <w:sz w:val="32"/>
          <w:szCs w:val="32"/>
        </w:rPr>
      </w:pPr>
      <w:bookmarkStart w:id="62" w:name="_Toc275865606"/>
      <w:bookmarkStart w:id="63" w:name="_Toc435515295"/>
      <w:bookmarkStart w:id="64" w:name="_Toc435514855"/>
      <w:bookmarkStart w:id="65" w:name="_Toc435514854"/>
      <w:bookmarkStart w:id="66" w:name="_Toc435515294"/>
      <w:bookmarkStart w:id="67" w:name="_Toc275865605"/>
      <w:r>
        <w:rPr>
          <w:rFonts w:hint="eastAsia" w:ascii="黑体" w:hAnsi="黑体" w:eastAsia="黑体"/>
          <w:sz w:val="32"/>
          <w:szCs w:val="32"/>
        </w:rPr>
        <w:t>投标人资格声明函</w:t>
      </w:r>
      <w:bookmarkEnd w:id="62"/>
      <w:bookmarkEnd w:id="63"/>
      <w:bookmarkEnd w:id="64"/>
    </w:p>
    <w:p>
      <w:pPr>
        <w:adjustRightInd w:val="0"/>
        <w:snapToGrid w:val="0"/>
        <w:spacing w:line="360" w:lineRule="auto"/>
        <w:rPr>
          <w:b/>
          <w:sz w:val="24"/>
        </w:rPr>
      </w:pPr>
    </w:p>
    <w:p>
      <w:pPr>
        <w:adjustRightInd w:val="0"/>
        <w:snapToGrid w:val="0"/>
        <w:spacing w:line="360" w:lineRule="auto"/>
        <w:rPr>
          <w:b/>
          <w:sz w:val="24"/>
        </w:rPr>
      </w:pPr>
      <w:r>
        <w:rPr>
          <w:rFonts w:hint="eastAsia"/>
          <w:b/>
          <w:sz w:val="24"/>
        </w:rPr>
        <w:t>广州市白云城市建设投资有限公司：</w:t>
      </w:r>
    </w:p>
    <w:p>
      <w:pPr>
        <w:adjustRightInd w:val="0"/>
        <w:snapToGrid w:val="0"/>
        <w:spacing w:line="360" w:lineRule="auto"/>
        <w:ind w:firstLine="484" w:firstLineChars="202"/>
        <w:rPr>
          <w:rFonts w:ascii="宋体" w:hAnsi="宋体"/>
          <w:sz w:val="24"/>
        </w:rPr>
      </w:pPr>
      <w:r>
        <w:rPr>
          <w:rFonts w:hint="eastAsia" w:ascii="宋体" w:hAnsi="宋体"/>
          <w:sz w:val="24"/>
        </w:rPr>
        <w:t>关于贵公司2023年   月   日发布</w:t>
      </w:r>
      <w:r>
        <w:rPr>
          <w:rFonts w:hint="eastAsia" w:ascii="宋体" w:hAnsi="宋体"/>
          <w:sz w:val="24"/>
          <w:u w:val="single"/>
        </w:rPr>
        <w:t>广州市白云城市开发投资集团有限公司2023年9月至2024年8月食材配送服务项目（项目编号：BYJSCG-23-0005）</w:t>
      </w:r>
      <w:r>
        <w:rPr>
          <w:rFonts w:hint="eastAsia" w:ascii="宋体" w:hAnsi="宋体"/>
          <w:sz w:val="24"/>
        </w:rPr>
        <w:t>的采购公告，本公司（企业）愿意参加投标，并声明：</w:t>
      </w:r>
    </w:p>
    <w:p>
      <w:pPr>
        <w:pStyle w:val="101"/>
        <w:numPr>
          <w:ilvl w:val="0"/>
          <w:numId w:val="50"/>
        </w:numPr>
        <w:tabs>
          <w:tab w:val="left" w:pos="851"/>
          <w:tab w:val="left" w:pos="993"/>
        </w:tabs>
        <w:adjustRightInd w:val="0"/>
        <w:snapToGrid w:val="0"/>
        <w:spacing w:line="360" w:lineRule="auto"/>
        <w:ind w:firstLineChars="0"/>
        <w:rPr>
          <w:rFonts w:ascii="宋体" w:hAnsi="宋体"/>
          <w:bCs/>
          <w:sz w:val="24"/>
        </w:rPr>
      </w:pPr>
      <w:r>
        <w:rPr>
          <w:rFonts w:hint="eastAsia" w:ascii="宋体" w:hAnsi="宋体"/>
          <w:sz w:val="24"/>
        </w:rPr>
        <w:t>本公司（企业）</w:t>
      </w:r>
      <w:r>
        <w:rPr>
          <w:rFonts w:hint="eastAsia" w:ascii="宋体" w:hAnsi="宋体"/>
          <w:bCs/>
          <w:sz w:val="24"/>
        </w:rPr>
        <w:t>具备以下条件：</w:t>
      </w:r>
    </w:p>
    <w:p>
      <w:pPr>
        <w:pStyle w:val="101"/>
        <w:widowControl/>
        <w:numPr>
          <w:ilvl w:val="0"/>
          <w:numId w:val="51"/>
        </w:numPr>
        <w:adjustRightInd w:val="0"/>
        <w:snapToGrid w:val="0"/>
        <w:spacing w:line="360" w:lineRule="auto"/>
        <w:ind w:firstLineChars="0"/>
        <w:rPr>
          <w:rFonts w:ascii="宋体" w:hAnsi="宋体" w:cs="宋体"/>
          <w:kern w:val="0"/>
          <w:sz w:val="24"/>
        </w:rPr>
      </w:pPr>
      <w:r>
        <w:rPr>
          <w:rFonts w:hint="eastAsia" w:ascii="宋体" w:hAnsi="宋体"/>
          <w:sz w:val="24"/>
        </w:rPr>
        <w:t>参加投标的意思表达清楚，投标人代表被授权有效</w:t>
      </w:r>
      <w:r>
        <w:rPr>
          <w:rFonts w:hint="eastAsia" w:ascii="宋体" w:hAnsi="宋体" w:cs="宋体"/>
          <w:kern w:val="0"/>
          <w:sz w:val="24"/>
        </w:rPr>
        <w:t>；</w:t>
      </w:r>
    </w:p>
    <w:p>
      <w:pPr>
        <w:pStyle w:val="101"/>
        <w:widowControl/>
        <w:numPr>
          <w:ilvl w:val="0"/>
          <w:numId w:val="51"/>
        </w:numPr>
        <w:adjustRightInd w:val="0"/>
        <w:snapToGrid w:val="0"/>
        <w:spacing w:line="360" w:lineRule="auto"/>
        <w:ind w:firstLineChars="0"/>
        <w:rPr>
          <w:rFonts w:ascii="宋体" w:hAnsi="宋体" w:cs="宋体"/>
          <w:kern w:val="0"/>
          <w:sz w:val="24"/>
        </w:rPr>
      </w:pPr>
      <w:r>
        <w:rPr>
          <w:rFonts w:hint="eastAsia" w:ascii="宋体" w:hAnsi="宋体" w:cs="宋体"/>
          <w:kern w:val="0"/>
          <w:sz w:val="24"/>
        </w:rPr>
        <w:t>有依法缴纳税收和社会保障资金的良好记录；</w:t>
      </w:r>
    </w:p>
    <w:p>
      <w:pPr>
        <w:pStyle w:val="101"/>
        <w:widowControl/>
        <w:numPr>
          <w:ilvl w:val="0"/>
          <w:numId w:val="51"/>
        </w:numPr>
        <w:adjustRightInd w:val="0"/>
        <w:snapToGrid w:val="0"/>
        <w:spacing w:line="360" w:lineRule="auto"/>
        <w:ind w:firstLineChars="0"/>
        <w:rPr>
          <w:rFonts w:ascii="宋体" w:hAnsi="宋体" w:cs="宋体"/>
          <w:kern w:val="0"/>
          <w:sz w:val="24"/>
        </w:rPr>
      </w:pPr>
      <w:r>
        <w:rPr>
          <w:rFonts w:hint="eastAsia" w:ascii="宋体" w:hAnsi="宋体" w:cs="宋体"/>
          <w:kern w:val="0"/>
          <w:sz w:val="24"/>
        </w:rPr>
        <w:t>具有良好的商业信誉和健全的财务会计制度；</w:t>
      </w:r>
    </w:p>
    <w:p>
      <w:pPr>
        <w:pStyle w:val="101"/>
        <w:widowControl/>
        <w:numPr>
          <w:ilvl w:val="0"/>
          <w:numId w:val="51"/>
        </w:numPr>
        <w:adjustRightInd w:val="0"/>
        <w:snapToGrid w:val="0"/>
        <w:spacing w:line="360" w:lineRule="auto"/>
        <w:ind w:firstLineChars="0"/>
        <w:rPr>
          <w:rFonts w:ascii="宋体" w:hAnsi="宋体" w:cs="宋体"/>
          <w:kern w:val="0"/>
          <w:sz w:val="24"/>
        </w:rPr>
      </w:pPr>
      <w:r>
        <w:rPr>
          <w:rFonts w:hint="eastAsia" w:ascii="宋体" w:hAnsi="宋体" w:cs="宋体"/>
          <w:kern w:val="0"/>
          <w:sz w:val="24"/>
        </w:rPr>
        <w:t>具有履行合同所必需的设备和专业技术能力；</w:t>
      </w:r>
    </w:p>
    <w:p>
      <w:pPr>
        <w:pStyle w:val="101"/>
        <w:widowControl/>
        <w:numPr>
          <w:ilvl w:val="0"/>
          <w:numId w:val="51"/>
        </w:numPr>
        <w:adjustRightInd w:val="0"/>
        <w:snapToGrid w:val="0"/>
        <w:spacing w:line="360" w:lineRule="auto"/>
        <w:ind w:firstLineChars="0"/>
        <w:rPr>
          <w:rFonts w:ascii="宋体" w:hAnsi="宋体" w:cs="宋体"/>
          <w:kern w:val="0"/>
          <w:sz w:val="24"/>
        </w:rPr>
      </w:pPr>
      <w:r>
        <w:rPr>
          <w:rFonts w:hint="eastAsia" w:ascii="宋体" w:hAnsi="宋体"/>
          <w:sz w:val="24"/>
        </w:rPr>
        <w:t>参加采购活动前3年内，在经营活动中没有重大违法记录</w:t>
      </w:r>
      <w:r>
        <w:rPr>
          <w:rFonts w:hint="eastAsia" w:ascii="宋体" w:hAnsi="宋体" w:cs="宋体"/>
          <w:kern w:val="0"/>
          <w:sz w:val="24"/>
        </w:rPr>
        <w:t>；</w:t>
      </w:r>
    </w:p>
    <w:p>
      <w:pPr>
        <w:pStyle w:val="101"/>
        <w:widowControl/>
        <w:numPr>
          <w:ilvl w:val="0"/>
          <w:numId w:val="51"/>
        </w:numPr>
        <w:adjustRightInd w:val="0"/>
        <w:snapToGrid w:val="0"/>
        <w:spacing w:line="360" w:lineRule="auto"/>
        <w:ind w:firstLineChars="0"/>
        <w:rPr>
          <w:rFonts w:ascii="宋体" w:hAnsi="宋体" w:cs="宋体"/>
          <w:kern w:val="0"/>
          <w:sz w:val="24"/>
        </w:rPr>
      </w:pPr>
      <w:r>
        <w:rPr>
          <w:rFonts w:hint="eastAsia" w:ascii="宋体" w:hAnsi="宋体" w:cs="宋体"/>
          <w:kern w:val="0"/>
          <w:sz w:val="24"/>
        </w:rPr>
        <w:t>法律、行政法规规定的其他条件。</w:t>
      </w:r>
    </w:p>
    <w:p>
      <w:pPr>
        <w:pStyle w:val="101"/>
        <w:numPr>
          <w:ilvl w:val="0"/>
          <w:numId w:val="50"/>
        </w:numPr>
        <w:tabs>
          <w:tab w:val="left" w:pos="993"/>
        </w:tabs>
        <w:adjustRightInd w:val="0"/>
        <w:snapToGrid w:val="0"/>
        <w:spacing w:line="360" w:lineRule="auto"/>
        <w:ind w:left="0" w:firstLine="426" w:firstLineChars="0"/>
        <w:rPr>
          <w:rFonts w:ascii="宋体" w:hAnsi="宋体"/>
          <w:bCs/>
          <w:sz w:val="24"/>
        </w:rPr>
      </w:pPr>
      <w:r>
        <w:rPr>
          <w:rFonts w:hint="eastAsia" w:ascii="宋体" w:hAnsi="宋体"/>
          <w:bCs/>
          <w:sz w:val="24"/>
        </w:rPr>
        <w:t>我方承诺我方与其他投标人不存在法定代表人或单位负责人为同一人或者存在直接控股、管理关系。</w:t>
      </w:r>
    </w:p>
    <w:p>
      <w:pPr>
        <w:pStyle w:val="101"/>
        <w:numPr>
          <w:ilvl w:val="0"/>
          <w:numId w:val="50"/>
        </w:numPr>
        <w:tabs>
          <w:tab w:val="left" w:pos="993"/>
        </w:tabs>
        <w:adjustRightInd w:val="0"/>
        <w:snapToGrid w:val="0"/>
        <w:spacing w:line="360" w:lineRule="auto"/>
        <w:ind w:left="0" w:firstLine="426" w:firstLineChars="0"/>
        <w:rPr>
          <w:rFonts w:ascii="宋体" w:hAnsi="宋体"/>
          <w:bCs/>
          <w:sz w:val="24"/>
        </w:rPr>
      </w:pPr>
      <w:r>
        <w:rPr>
          <w:rFonts w:hint="eastAsia" w:ascii="宋体" w:hAnsi="宋体"/>
          <w:bCs/>
          <w:sz w:val="24"/>
        </w:rPr>
        <w:t>我方承诺未在以往投标中因不诚信行为或不充分履约行为被本项目招标人书面拒绝投标的。</w:t>
      </w:r>
    </w:p>
    <w:p>
      <w:pPr>
        <w:adjustRightInd w:val="0"/>
        <w:snapToGrid w:val="0"/>
        <w:spacing w:line="360" w:lineRule="auto"/>
        <w:ind w:firstLine="484" w:firstLineChars="202"/>
        <w:rPr>
          <w:rFonts w:ascii="宋体" w:hAnsi="宋体"/>
          <w:sz w:val="24"/>
        </w:rPr>
      </w:pPr>
      <w:r>
        <w:rPr>
          <w:rFonts w:hint="eastAsia" w:ascii="宋体" w:hAnsi="宋体"/>
          <w:sz w:val="24"/>
        </w:rPr>
        <w:t>本公司（企业）承诺在本次招标采购活动中，如有违法、违规、弄虚作假行为，所造成的损失、不良后果及法律责任，一律由我公司（企业）承担。</w:t>
      </w:r>
    </w:p>
    <w:p>
      <w:pPr>
        <w:adjustRightInd w:val="0"/>
        <w:snapToGrid w:val="0"/>
        <w:spacing w:line="360" w:lineRule="auto"/>
        <w:ind w:firstLine="420"/>
        <w:rPr>
          <w:sz w:val="24"/>
        </w:rPr>
      </w:pPr>
      <w:r>
        <w:rPr>
          <w:rFonts w:hint="eastAsia"/>
          <w:sz w:val="24"/>
        </w:rPr>
        <w:t>特此声明！</w:t>
      </w:r>
    </w:p>
    <w:p>
      <w:pPr>
        <w:autoSpaceDE w:val="0"/>
        <w:autoSpaceDN w:val="0"/>
        <w:adjustRightInd w:val="0"/>
        <w:snapToGrid w:val="0"/>
        <w:spacing w:line="360" w:lineRule="auto"/>
        <w:rPr>
          <w:rFonts w:ascii="宋体" w:hAnsi="宋体"/>
          <w:b/>
          <w:sz w:val="24"/>
        </w:rPr>
      </w:pPr>
      <w:r>
        <w:rPr>
          <w:rFonts w:hint="eastAsia" w:ascii="宋体" w:hAnsi="宋体"/>
          <w:b/>
          <w:sz w:val="24"/>
        </w:rPr>
        <w:t>说明：</w:t>
      </w:r>
    </w:p>
    <w:p>
      <w:pPr>
        <w:pStyle w:val="101"/>
        <w:numPr>
          <w:ilvl w:val="0"/>
          <w:numId w:val="52"/>
        </w:numPr>
        <w:autoSpaceDE w:val="0"/>
        <w:autoSpaceDN w:val="0"/>
        <w:adjustRightInd w:val="0"/>
        <w:snapToGrid w:val="0"/>
        <w:spacing w:line="360" w:lineRule="auto"/>
        <w:ind w:firstLineChars="0"/>
        <w:jc w:val="left"/>
        <w:rPr>
          <w:rFonts w:ascii="宋体" w:hAnsi="宋体"/>
          <w:sz w:val="24"/>
        </w:rPr>
      </w:pPr>
      <w:r>
        <w:rPr>
          <w:rFonts w:hint="eastAsia" w:ascii="宋体" w:hAnsi="宋体"/>
          <w:sz w:val="24"/>
        </w:rPr>
        <w:t>本声明函如有虚假或与事实不符的，作无效投标处理。</w:t>
      </w:r>
    </w:p>
    <w:p>
      <w:pPr>
        <w:pStyle w:val="101"/>
        <w:numPr>
          <w:ilvl w:val="0"/>
          <w:numId w:val="52"/>
        </w:numPr>
        <w:autoSpaceDE w:val="0"/>
        <w:autoSpaceDN w:val="0"/>
        <w:adjustRightInd w:val="0"/>
        <w:snapToGrid w:val="0"/>
        <w:spacing w:line="360" w:lineRule="auto"/>
        <w:ind w:firstLineChars="0"/>
        <w:jc w:val="left"/>
        <w:rPr>
          <w:rFonts w:ascii="宋体" w:hAnsi="宋体"/>
          <w:sz w:val="24"/>
        </w:rPr>
      </w:pPr>
      <w:r>
        <w:rPr>
          <w:rFonts w:hint="eastAsia" w:ascii="宋体" w:hAnsi="宋体"/>
          <w:sz w:val="24"/>
        </w:rPr>
        <w:t>后附营业执照复印件。若分支机构投标，还须同时提供总公司（总所）出具给分支机构的授权书和总公司（总所）和分支机构的营业执照（执业许可证）复印件。</w:t>
      </w:r>
    </w:p>
    <w:p>
      <w:pPr>
        <w:tabs>
          <w:tab w:val="left" w:pos="426"/>
        </w:tabs>
        <w:adjustRightInd w:val="0"/>
        <w:snapToGrid w:val="0"/>
        <w:spacing w:line="360" w:lineRule="auto"/>
        <w:rPr>
          <w:rFonts w:ascii="宋体" w:hAnsi="宋体"/>
          <w:bCs/>
          <w:sz w:val="24"/>
        </w:rPr>
      </w:pPr>
    </w:p>
    <w:p>
      <w:pPr>
        <w:adjustRightInd w:val="0"/>
        <w:snapToGrid w:val="0"/>
        <w:spacing w:line="360" w:lineRule="auto"/>
        <w:ind w:firstLine="420"/>
        <w:jc w:val="left"/>
        <w:rPr>
          <w:sz w:val="24"/>
        </w:rPr>
      </w:pPr>
      <w:r>
        <w:rPr>
          <w:rFonts w:hint="eastAsia"/>
          <w:sz w:val="24"/>
        </w:rPr>
        <w:t>投标人名称（单位盖公章）：</w:t>
      </w:r>
    </w:p>
    <w:p>
      <w:pPr>
        <w:adjustRightInd w:val="0"/>
        <w:snapToGrid w:val="0"/>
        <w:spacing w:line="360" w:lineRule="auto"/>
        <w:ind w:firstLine="420"/>
        <w:jc w:val="left"/>
        <w:rPr>
          <w:sz w:val="24"/>
        </w:rPr>
      </w:pPr>
      <w:r>
        <w:rPr>
          <w:rFonts w:hint="eastAsia"/>
          <w:sz w:val="24"/>
        </w:rPr>
        <w:t>单位地址：</w:t>
      </w:r>
    </w:p>
    <w:p>
      <w:pPr>
        <w:adjustRightInd w:val="0"/>
        <w:snapToGrid w:val="0"/>
        <w:spacing w:line="360" w:lineRule="auto"/>
        <w:ind w:firstLine="420"/>
        <w:jc w:val="left"/>
        <w:rPr>
          <w:sz w:val="24"/>
        </w:rPr>
      </w:pPr>
      <w:r>
        <w:rPr>
          <w:rFonts w:hint="eastAsia"/>
          <w:sz w:val="24"/>
        </w:rPr>
        <w:t>日期：</w:t>
      </w:r>
    </w:p>
    <w:p>
      <w:pPr>
        <w:widowControl/>
        <w:jc w:val="left"/>
        <w:rPr>
          <w:rFonts w:ascii="黑体" w:hAnsi="黑体" w:eastAsia="黑体"/>
          <w:sz w:val="32"/>
          <w:szCs w:val="32"/>
        </w:rPr>
      </w:pPr>
      <w:r>
        <w:rPr>
          <w:rFonts w:ascii="黑体" w:hAnsi="黑体" w:eastAsia="黑体"/>
          <w:sz w:val="32"/>
          <w:szCs w:val="32"/>
        </w:rPr>
        <w:br w:type="page"/>
      </w:r>
    </w:p>
    <w:p>
      <w:pPr>
        <w:tabs>
          <w:tab w:val="left" w:pos="426"/>
        </w:tabs>
        <w:autoSpaceDE w:val="0"/>
        <w:autoSpaceDN w:val="0"/>
        <w:adjustRightInd w:val="0"/>
        <w:spacing w:line="360" w:lineRule="auto"/>
        <w:jc w:val="center"/>
        <w:outlineLvl w:val="3"/>
        <w:rPr>
          <w:rFonts w:ascii="黑体" w:hAnsi="黑体" w:eastAsia="黑体"/>
          <w:sz w:val="32"/>
          <w:szCs w:val="32"/>
        </w:rPr>
      </w:pPr>
      <w:r>
        <w:rPr>
          <w:rFonts w:hint="eastAsia" w:ascii="黑体" w:hAnsi="黑体" w:eastAsia="黑体"/>
          <w:sz w:val="32"/>
          <w:szCs w:val="32"/>
        </w:rPr>
        <w:t>投标函</w:t>
      </w:r>
      <w:bookmarkEnd w:id="65"/>
      <w:bookmarkEnd w:id="66"/>
      <w:bookmarkEnd w:id="67"/>
    </w:p>
    <w:p>
      <w:pPr>
        <w:spacing w:line="360" w:lineRule="auto"/>
        <w:rPr>
          <w:rFonts w:ascii="宋体" w:hAnsi="宋体"/>
          <w:b/>
          <w:sz w:val="24"/>
        </w:rPr>
      </w:pPr>
      <w:r>
        <w:rPr>
          <w:rFonts w:hint="eastAsia" w:ascii="宋体" w:hAnsi="宋体"/>
          <w:b/>
          <w:sz w:val="24"/>
        </w:rPr>
        <w:t>广州市白云城市建设投资有限公司</w:t>
      </w:r>
    </w:p>
    <w:p>
      <w:pPr>
        <w:spacing w:line="360" w:lineRule="auto"/>
        <w:ind w:left="105" w:leftChars="50" w:firstLine="427" w:firstLineChars="178"/>
        <w:rPr>
          <w:rFonts w:ascii="宋体" w:hAnsi="宋体"/>
          <w:sz w:val="24"/>
        </w:rPr>
      </w:pPr>
      <w:r>
        <w:rPr>
          <w:rFonts w:hint="eastAsia" w:ascii="宋体" w:hAnsi="宋体"/>
          <w:sz w:val="24"/>
        </w:rPr>
        <w:t>我方确认收到贵方</w:t>
      </w:r>
      <w:r>
        <w:rPr>
          <w:rFonts w:hint="eastAsia" w:ascii="宋体" w:hAnsi="宋体"/>
          <w:sz w:val="24"/>
          <w:u w:val="single"/>
        </w:rPr>
        <w:t>广州市白云城市开发投资集团有限公司2023年9月至2024年8月食材配送服务项目（项目编号：BYJSCG-23-0005）， (投标人名称、地址)。</w:t>
      </w:r>
      <w:r>
        <w:rPr>
          <w:rFonts w:hint="eastAsia" w:ascii="宋体" w:hAnsi="宋体"/>
          <w:sz w:val="24"/>
        </w:rPr>
        <w:t>作为投标人已正式授权《法定代表人授权委托书》中的授权代表或法定代表人为我方签名代表，签名代表在此声明并同意：</w:t>
      </w:r>
    </w:p>
    <w:p>
      <w:pPr>
        <w:numPr>
          <w:ilvl w:val="0"/>
          <w:numId w:val="53"/>
        </w:numPr>
        <w:tabs>
          <w:tab w:val="clear" w:pos="780"/>
        </w:tabs>
        <w:snapToGrid w:val="0"/>
        <w:spacing w:line="360" w:lineRule="auto"/>
        <w:ind w:left="426"/>
        <w:rPr>
          <w:rFonts w:ascii="宋体" w:hAnsi="宋体"/>
          <w:sz w:val="24"/>
        </w:rPr>
      </w:pPr>
      <w:r>
        <w:rPr>
          <w:rFonts w:hint="eastAsia" w:ascii="宋体" w:hAnsi="宋体"/>
          <w:sz w:val="24"/>
        </w:rPr>
        <w:t>我们愿意遵守采购代理机构招标文件的各项规定，自愿参加投标，并已清楚招标文件的要求及有关文件规定，并严格按照招标文件的规定履行全部责任和义务。</w:t>
      </w:r>
    </w:p>
    <w:p>
      <w:pPr>
        <w:numPr>
          <w:ilvl w:val="0"/>
          <w:numId w:val="53"/>
        </w:numPr>
        <w:tabs>
          <w:tab w:val="clear" w:pos="780"/>
        </w:tabs>
        <w:snapToGrid w:val="0"/>
        <w:spacing w:line="360" w:lineRule="auto"/>
        <w:ind w:left="426"/>
        <w:rPr>
          <w:rFonts w:ascii="宋体" w:hAnsi="宋体"/>
          <w:sz w:val="24"/>
        </w:rPr>
      </w:pPr>
      <w:r>
        <w:rPr>
          <w:rFonts w:hint="eastAsia" w:ascii="宋体" w:hAnsi="宋体"/>
          <w:sz w:val="24"/>
        </w:rPr>
        <w:t>我们同意本投标文件的投标有效期从提交投标文件的截止之日起</w:t>
      </w:r>
      <w:r>
        <w:rPr>
          <w:rFonts w:hint="eastAsia" w:ascii="宋体" w:hAnsi="宋体"/>
          <w:b/>
          <w:sz w:val="24"/>
          <w:u w:val="single"/>
        </w:rPr>
        <w:t>90</w:t>
      </w:r>
      <w:r>
        <w:rPr>
          <w:rFonts w:hint="eastAsia" w:ascii="宋体" w:hAnsi="宋体"/>
          <w:b/>
          <w:sz w:val="24"/>
        </w:rPr>
        <w:t>日历日内有效</w:t>
      </w:r>
      <w:r>
        <w:rPr>
          <w:rFonts w:hint="eastAsia" w:ascii="宋体" w:hAnsi="宋体"/>
          <w:sz w:val="24"/>
        </w:rPr>
        <w:t>。</w:t>
      </w:r>
    </w:p>
    <w:p>
      <w:pPr>
        <w:numPr>
          <w:ilvl w:val="0"/>
          <w:numId w:val="53"/>
        </w:numPr>
        <w:tabs>
          <w:tab w:val="clear" w:pos="780"/>
        </w:tabs>
        <w:snapToGrid w:val="0"/>
        <w:spacing w:line="360" w:lineRule="auto"/>
        <w:ind w:left="426"/>
        <w:rPr>
          <w:rFonts w:ascii="宋体" w:hAnsi="宋体"/>
          <w:sz w:val="24"/>
        </w:rPr>
      </w:pPr>
      <w:r>
        <w:rPr>
          <w:rFonts w:hint="eastAsia" w:ascii="宋体" w:hAnsi="宋体"/>
          <w:sz w:val="24"/>
        </w:rPr>
        <w:t>我们承诺从本项目投标截止时间起，本投标始终有效且不予撤销已递交的投标文件。</w:t>
      </w:r>
    </w:p>
    <w:p>
      <w:pPr>
        <w:numPr>
          <w:ilvl w:val="0"/>
          <w:numId w:val="53"/>
        </w:numPr>
        <w:tabs>
          <w:tab w:val="clear" w:pos="780"/>
        </w:tabs>
        <w:snapToGrid w:val="0"/>
        <w:spacing w:line="360" w:lineRule="auto"/>
        <w:ind w:left="426"/>
        <w:rPr>
          <w:rFonts w:ascii="宋体" w:hAnsi="宋体"/>
          <w:sz w:val="24"/>
        </w:rPr>
      </w:pPr>
      <w:r>
        <w:rPr>
          <w:rFonts w:hint="eastAsia" w:ascii="宋体" w:hAnsi="宋体"/>
          <w:sz w:val="24"/>
        </w:rPr>
        <w:t>我们已经详细地阅读并完全明白了全部招标文件及附件，包括澄清（如有）及参考文件，我们完全理解本招标文件的要求，</w:t>
      </w:r>
      <w:r>
        <w:rPr>
          <w:rFonts w:hint="eastAsia" w:ascii="宋体"/>
          <w:sz w:val="24"/>
        </w:rPr>
        <w:t>我们同意放弃对招标文件提出不明或误解的一切权力</w:t>
      </w:r>
      <w:r>
        <w:rPr>
          <w:rFonts w:hint="eastAsia" w:ascii="宋体" w:hAnsi="宋体"/>
          <w:sz w:val="24"/>
        </w:rPr>
        <w:t>。</w:t>
      </w:r>
    </w:p>
    <w:p>
      <w:pPr>
        <w:numPr>
          <w:ilvl w:val="0"/>
          <w:numId w:val="53"/>
        </w:numPr>
        <w:tabs>
          <w:tab w:val="clear" w:pos="780"/>
        </w:tabs>
        <w:snapToGrid w:val="0"/>
        <w:spacing w:line="360" w:lineRule="auto"/>
        <w:ind w:left="426"/>
        <w:rPr>
          <w:rFonts w:ascii="宋体" w:hAnsi="宋体"/>
          <w:sz w:val="24"/>
        </w:rPr>
      </w:pPr>
      <w:r>
        <w:rPr>
          <w:rFonts w:hint="eastAsia" w:ascii="宋体" w:hAnsi="宋体"/>
          <w:sz w:val="24"/>
        </w:rPr>
        <w:t>我们同意提供</w:t>
      </w:r>
      <w:r>
        <w:rPr>
          <w:rFonts w:hint="eastAsia" w:ascii="宋体" w:hAnsi="宋体" w:cs="宋体"/>
          <w:sz w:val="24"/>
        </w:rPr>
        <w:t>采购人或者采购代理机构</w:t>
      </w:r>
      <w:r>
        <w:rPr>
          <w:rFonts w:hint="eastAsia" w:ascii="宋体" w:hAnsi="宋体"/>
          <w:sz w:val="24"/>
        </w:rPr>
        <w:t>与评标委员会要求的有关投标的一切数据或资料。</w:t>
      </w:r>
    </w:p>
    <w:p>
      <w:pPr>
        <w:numPr>
          <w:ilvl w:val="0"/>
          <w:numId w:val="53"/>
        </w:numPr>
        <w:tabs>
          <w:tab w:val="clear" w:pos="780"/>
        </w:tabs>
        <w:snapToGrid w:val="0"/>
        <w:spacing w:line="360" w:lineRule="auto"/>
        <w:ind w:left="426"/>
        <w:rPr>
          <w:rFonts w:ascii="宋体" w:hAnsi="宋体"/>
          <w:sz w:val="24"/>
        </w:rPr>
      </w:pPr>
      <w:r>
        <w:rPr>
          <w:rFonts w:hint="eastAsia" w:ascii="宋体" w:hAnsi="宋体"/>
          <w:sz w:val="24"/>
        </w:rPr>
        <w:t>我们理解</w:t>
      </w:r>
      <w:r>
        <w:rPr>
          <w:rFonts w:hint="eastAsia" w:ascii="宋体" w:hAnsi="宋体" w:cs="宋体"/>
          <w:sz w:val="24"/>
        </w:rPr>
        <w:t>采购人或者采购代理机构</w:t>
      </w:r>
      <w:r>
        <w:rPr>
          <w:rFonts w:hint="eastAsia" w:ascii="宋体" w:hAnsi="宋体"/>
          <w:sz w:val="24"/>
        </w:rPr>
        <w:t>与评标委员会并无义务必须接受最低报价的投标或其它任何投标，完全理解采购代理机构拒绝迟到的任何投标和最低投标报价不是被授予中标的唯一条件。</w:t>
      </w:r>
    </w:p>
    <w:p>
      <w:pPr>
        <w:numPr>
          <w:ilvl w:val="0"/>
          <w:numId w:val="53"/>
        </w:numPr>
        <w:tabs>
          <w:tab w:val="clear" w:pos="780"/>
        </w:tabs>
        <w:snapToGrid w:val="0"/>
        <w:spacing w:line="360" w:lineRule="auto"/>
        <w:ind w:left="426"/>
        <w:rPr>
          <w:rFonts w:ascii="宋体" w:hAnsi="宋体"/>
          <w:sz w:val="24"/>
        </w:rPr>
      </w:pPr>
      <w:r>
        <w:rPr>
          <w:rFonts w:hint="eastAsia" w:ascii="宋体" w:hAnsi="宋体"/>
          <w:sz w:val="24"/>
        </w:rPr>
        <w:t xml:space="preserve">如果我们未对招标文件全部要求作出实质性响应，则完全同意并接受按无效投标处理。 </w:t>
      </w:r>
    </w:p>
    <w:p>
      <w:pPr>
        <w:numPr>
          <w:ilvl w:val="0"/>
          <w:numId w:val="53"/>
        </w:numPr>
        <w:tabs>
          <w:tab w:val="clear" w:pos="780"/>
        </w:tabs>
        <w:snapToGrid w:val="0"/>
        <w:spacing w:line="360" w:lineRule="auto"/>
        <w:ind w:left="426"/>
        <w:rPr>
          <w:rFonts w:ascii="宋体" w:hAnsi="宋体"/>
          <w:sz w:val="24"/>
        </w:rPr>
      </w:pPr>
      <w:r>
        <w:rPr>
          <w:rFonts w:hint="eastAsia" w:ascii="宋体" w:hAnsi="宋体"/>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53"/>
        </w:numPr>
        <w:tabs>
          <w:tab w:val="clear" w:pos="780"/>
        </w:tabs>
        <w:snapToGrid w:val="0"/>
        <w:spacing w:line="360" w:lineRule="auto"/>
        <w:ind w:left="426"/>
        <w:rPr>
          <w:rFonts w:ascii="宋体" w:hAnsi="宋体"/>
          <w:sz w:val="24"/>
        </w:rPr>
      </w:pPr>
      <w:r>
        <w:rPr>
          <w:rFonts w:hint="eastAsia" w:ascii="宋体" w:hAnsi="宋体"/>
          <w:sz w:val="24"/>
        </w:rPr>
        <w:t>如果我们提供的声明或承诺不真实，则完全同意认定为我司提供虚假材料，并同意作相应处理。</w:t>
      </w:r>
    </w:p>
    <w:p>
      <w:pPr>
        <w:numPr>
          <w:ilvl w:val="0"/>
          <w:numId w:val="53"/>
        </w:numPr>
        <w:tabs>
          <w:tab w:val="clear" w:pos="780"/>
        </w:tabs>
        <w:snapToGrid w:val="0"/>
        <w:spacing w:line="360" w:lineRule="auto"/>
        <w:ind w:left="426"/>
        <w:rPr>
          <w:rFonts w:ascii="宋体" w:hAnsi="宋体"/>
          <w:sz w:val="24"/>
        </w:rPr>
      </w:pPr>
      <w:r>
        <w:rPr>
          <w:rFonts w:hint="eastAsia" w:ascii="宋体" w:hAnsi="宋体"/>
          <w:sz w:val="24"/>
        </w:rPr>
        <w:t>我们是依法注册的法人，在法律、财务及运作上完全独立于本项目采购人、用户单位（如有）和采购代理机构。</w:t>
      </w:r>
    </w:p>
    <w:p>
      <w:pPr>
        <w:numPr>
          <w:ilvl w:val="0"/>
          <w:numId w:val="53"/>
        </w:numPr>
        <w:tabs>
          <w:tab w:val="clear" w:pos="780"/>
        </w:tabs>
        <w:snapToGrid w:val="0"/>
        <w:spacing w:line="360" w:lineRule="auto"/>
        <w:ind w:left="426"/>
        <w:rPr>
          <w:rFonts w:ascii="宋体" w:hAnsi="宋体"/>
          <w:sz w:val="24"/>
        </w:rPr>
      </w:pPr>
      <w:r>
        <w:rPr>
          <w:rFonts w:hint="eastAsia" w:ascii="宋体" w:hAnsi="宋体"/>
          <w:sz w:val="24"/>
        </w:rPr>
        <w:t>与本投标有关的一切正式信函请寄：</w:t>
      </w:r>
      <w:r>
        <w:rPr>
          <w:rFonts w:hint="eastAsia" w:ascii="宋体" w:hAnsi="宋体"/>
          <w:sz w:val="24"/>
          <w:u w:val="single"/>
        </w:rPr>
        <w:t xml:space="preserve">    （投标人地址）    </w:t>
      </w:r>
    </w:p>
    <w:p>
      <w:pPr>
        <w:rPr>
          <w:rFonts w:ascii="宋体"/>
          <w:sz w:val="24"/>
        </w:rPr>
      </w:pPr>
    </w:p>
    <w:p>
      <w:pPr>
        <w:spacing w:line="500" w:lineRule="exact"/>
        <w:ind w:left="420"/>
        <w:rPr>
          <w:spacing w:val="4"/>
          <w:sz w:val="24"/>
        </w:rPr>
      </w:pPr>
      <w:r>
        <w:rPr>
          <w:rFonts w:hint="eastAsia"/>
          <w:spacing w:val="4"/>
          <w:sz w:val="24"/>
        </w:rPr>
        <w:t>投标人名称（单位盖公章）：</w:t>
      </w:r>
    </w:p>
    <w:p>
      <w:pPr>
        <w:spacing w:line="500" w:lineRule="exact"/>
        <w:ind w:left="420"/>
        <w:rPr>
          <w:spacing w:val="4"/>
          <w:sz w:val="24"/>
        </w:rPr>
      </w:pPr>
      <w:r>
        <w:rPr>
          <w:rFonts w:hint="eastAsia" w:ascii="宋体"/>
          <w:sz w:val="24"/>
        </w:rPr>
        <w:t>法定代表人或</w:t>
      </w:r>
      <w:r>
        <w:rPr>
          <w:rFonts w:hint="eastAsia" w:ascii="宋体" w:hAnsi="宋体"/>
          <w:sz w:val="24"/>
        </w:rPr>
        <w:t>投标人授权代表（签名或盖个人名章）：</w:t>
      </w:r>
    </w:p>
    <w:p>
      <w:pPr>
        <w:spacing w:line="500" w:lineRule="exact"/>
        <w:ind w:left="420"/>
        <w:rPr>
          <w:spacing w:val="4"/>
          <w:sz w:val="24"/>
        </w:rPr>
      </w:pPr>
      <w:r>
        <w:rPr>
          <w:rFonts w:hint="eastAsia"/>
          <w:spacing w:val="4"/>
          <w:sz w:val="24"/>
        </w:rPr>
        <w:t>日期</w:t>
      </w:r>
    </w:p>
    <w:p>
      <w:pPr>
        <w:adjustRightInd w:val="0"/>
        <w:snapToGrid w:val="0"/>
        <w:spacing w:line="360" w:lineRule="auto"/>
        <w:ind w:firstLine="494" w:firstLineChars="206"/>
        <w:rPr>
          <w:rFonts w:ascii="黑体" w:eastAsia="黑体"/>
          <w:bCs/>
          <w:sz w:val="24"/>
        </w:rPr>
      </w:pPr>
    </w:p>
    <w:p>
      <w:pPr>
        <w:autoSpaceDE w:val="0"/>
        <w:autoSpaceDN w:val="0"/>
        <w:adjustRightInd w:val="0"/>
        <w:spacing w:line="360" w:lineRule="auto"/>
        <w:ind w:left="420" w:firstLine="6"/>
        <w:rPr>
          <w:rFonts w:ascii="宋体" w:hAnsi="宋体"/>
          <w:sz w:val="24"/>
        </w:rPr>
      </w:pPr>
      <w:r>
        <w:rPr>
          <w:rFonts w:hint="eastAsia" w:ascii="宋体" w:hAnsi="宋体"/>
          <w:sz w:val="24"/>
        </w:rPr>
        <w:t>备注：投标函中承诺的投标有效期应当不少于招标文件中载明的投标有效期，其他内容不得擅自删改，否则视为无效投标。</w:t>
      </w:r>
    </w:p>
    <w:p>
      <w:pPr>
        <w:adjustRightInd w:val="0"/>
        <w:snapToGrid w:val="0"/>
        <w:spacing w:line="360" w:lineRule="auto"/>
        <w:ind w:firstLine="494" w:firstLineChars="206"/>
        <w:rPr>
          <w:rFonts w:ascii="黑体" w:eastAsia="黑体"/>
          <w:bCs/>
          <w:sz w:val="24"/>
        </w:rPr>
        <w:sectPr>
          <w:pgSz w:w="11906" w:h="16838"/>
          <w:pgMar w:top="1440" w:right="1286" w:bottom="1440" w:left="1440" w:header="851" w:footer="992" w:gutter="0"/>
          <w:cols w:space="720" w:num="1"/>
          <w:docGrid w:type="lines" w:linePitch="312" w:charSpace="0"/>
        </w:sectPr>
      </w:pPr>
    </w:p>
    <w:p>
      <w:pPr>
        <w:tabs>
          <w:tab w:val="left" w:pos="142"/>
        </w:tabs>
        <w:autoSpaceDE w:val="0"/>
        <w:autoSpaceDN w:val="0"/>
        <w:adjustRightInd w:val="0"/>
        <w:spacing w:line="360" w:lineRule="auto"/>
        <w:ind w:left="-2" w:leftChars="-1" w:firstLine="2"/>
        <w:jc w:val="center"/>
        <w:outlineLvl w:val="3"/>
        <w:rPr>
          <w:rFonts w:ascii="黑体" w:hAnsi="黑体" w:eastAsia="黑体"/>
          <w:sz w:val="32"/>
          <w:szCs w:val="32"/>
        </w:rPr>
      </w:pPr>
      <w:bookmarkStart w:id="68" w:name="_承诺函"/>
      <w:bookmarkEnd w:id="68"/>
      <w:bookmarkStart w:id="69" w:name="_Toc50737297"/>
      <w:bookmarkStart w:id="70" w:name="_Toc435514859"/>
      <w:bookmarkStart w:id="71" w:name="_Toc50737329"/>
      <w:bookmarkStart w:id="72" w:name="_Toc52165081"/>
      <w:bookmarkStart w:id="73" w:name="_Toc435515299"/>
      <w:bookmarkStart w:id="74" w:name="_Toc275865607"/>
      <w:bookmarkStart w:id="75" w:name="_Toc50736477"/>
      <w:bookmarkStart w:id="76" w:name="_Toc50737328"/>
      <w:bookmarkStart w:id="77" w:name="_Toc50737296"/>
      <w:bookmarkStart w:id="78" w:name="_Toc50691034"/>
      <w:bookmarkStart w:id="79" w:name="_Toc52165080"/>
      <w:bookmarkStart w:id="80" w:name="_Toc50736476"/>
      <w:r>
        <w:rPr>
          <w:rFonts w:hint="eastAsia" w:ascii="黑体" w:hAnsi="黑体" w:eastAsia="黑体"/>
          <w:sz w:val="32"/>
          <w:szCs w:val="32"/>
        </w:rPr>
        <w:t>法定代表人授权委托书</w:t>
      </w:r>
      <w:bookmarkEnd w:id="69"/>
      <w:bookmarkEnd w:id="70"/>
      <w:bookmarkEnd w:id="71"/>
      <w:bookmarkEnd w:id="72"/>
      <w:bookmarkEnd w:id="73"/>
      <w:bookmarkEnd w:id="74"/>
      <w:bookmarkEnd w:id="75"/>
    </w:p>
    <w:p>
      <w:pPr>
        <w:pStyle w:val="2"/>
        <w:spacing w:line="360" w:lineRule="auto"/>
        <w:ind w:firstLine="480" w:firstLineChars="200"/>
        <w:rPr>
          <w:sz w:val="24"/>
          <w:szCs w:val="24"/>
        </w:rPr>
      </w:pPr>
      <w:r>
        <w:rPr>
          <w:rFonts w:hint="eastAsia"/>
          <w:sz w:val="24"/>
          <w:szCs w:val="24"/>
        </w:rPr>
        <w:t>本授权委托书声明：注册于</w:t>
      </w:r>
      <w:r>
        <w:rPr>
          <w:rFonts w:hint="eastAsia"/>
          <w:sz w:val="24"/>
          <w:szCs w:val="24"/>
          <w:u w:val="single"/>
        </w:rPr>
        <w:t xml:space="preserve"> （投标人地址）  </w:t>
      </w:r>
      <w:r>
        <w:rPr>
          <w:rFonts w:hint="eastAsia"/>
          <w:sz w:val="24"/>
          <w:szCs w:val="24"/>
        </w:rPr>
        <w:t>的</w:t>
      </w:r>
      <w:r>
        <w:rPr>
          <w:rFonts w:hint="eastAsia"/>
          <w:sz w:val="24"/>
          <w:szCs w:val="24"/>
          <w:u w:val="single"/>
        </w:rPr>
        <w:t xml:space="preserve">  （单位名称）    </w:t>
      </w:r>
      <w:r>
        <w:rPr>
          <w:rFonts w:hint="eastAsia"/>
          <w:sz w:val="24"/>
          <w:szCs w:val="24"/>
        </w:rPr>
        <w:t>在下面签名的</w:t>
      </w:r>
      <w:r>
        <w:rPr>
          <w:rFonts w:hint="eastAsia"/>
          <w:sz w:val="24"/>
          <w:szCs w:val="24"/>
          <w:u w:val="single"/>
        </w:rPr>
        <w:t>（法定代表人姓名、职务）</w:t>
      </w:r>
      <w:r>
        <w:rPr>
          <w:rFonts w:hint="eastAsia"/>
          <w:sz w:val="24"/>
          <w:szCs w:val="24"/>
        </w:rPr>
        <w:t>在此授权</w:t>
      </w:r>
      <w:r>
        <w:rPr>
          <w:rFonts w:hint="eastAsia"/>
          <w:sz w:val="24"/>
          <w:szCs w:val="24"/>
          <w:u w:val="single"/>
        </w:rPr>
        <w:t>（被授权人姓名、职务）</w:t>
      </w:r>
      <w:r>
        <w:rPr>
          <w:rFonts w:hint="eastAsia"/>
          <w:sz w:val="24"/>
          <w:szCs w:val="24"/>
        </w:rPr>
        <w:t>作为我公司的合法代理人，就</w:t>
      </w:r>
      <w:r>
        <w:rPr>
          <w:rFonts w:hint="eastAsia"/>
          <w:sz w:val="24"/>
          <w:szCs w:val="24"/>
          <w:u w:val="single"/>
        </w:rPr>
        <w:t>广州市白云城市开发投资集团有限公司2023年9月至2024年8月食材配送服务项目（项目编号：BYJSCG-23-0005）</w:t>
      </w:r>
      <w:r>
        <w:rPr>
          <w:rFonts w:hint="eastAsia"/>
          <w:sz w:val="24"/>
          <w:szCs w:val="24"/>
        </w:rPr>
        <w:t>的招投标活动，采购合同的签订、执行、完成和售后服务，作为投标人代表以我方的名义处理一切与之有关的事务。</w:t>
      </w:r>
    </w:p>
    <w:p>
      <w:pPr>
        <w:pStyle w:val="2"/>
        <w:spacing w:line="360" w:lineRule="auto"/>
        <w:ind w:firstLine="480" w:firstLineChars="200"/>
        <w:rPr>
          <w:sz w:val="24"/>
          <w:szCs w:val="24"/>
        </w:rPr>
      </w:pPr>
      <w:r>
        <w:rPr>
          <w:rFonts w:hint="eastAsia"/>
          <w:sz w:val="24"/>
          <w:szCs w:val="24"/>
        </w:rPr>
        <w:t>被授权人（投标人授权代表）无转委托权限。</w:t>
      </w:r>
    </w:p>
    <w:p>
      <w:pPr>
        <w:spacing w:line="360" w:lineRule="auto"/>
        <w:ind w:firstLine="480" w:firstLineChars="200"/>
        <w:rPr>
          <w:rFonts w:ascii="宋体"/>
          <w:sz w:val="24"/>
        </w:rPr>
      </w:pPr>
      <w:r>
        <w:rPr>
          <w:rFonts w:hint="eastAsia" w:ascii="宋体"/>
          <w:sz w:val="24"/>
        </w:rPr>
        <w:t>本授权书自法定代表人签字（或盖个人名章）之日起生效，特此声明。</w:t>
      </w: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投标人名称（</w:t>
      </w:r>
      <w:r>
        <w:rPr>
          <w:rFonts w:hint="eastAsia" w:ascii="宋体" w:hAnsi="宋体"/>
          <w:sz w:val="24"/>
        </w:rPr>
        <w:t>单位盖</w:t>
      </w:r>
      <w:r>
        <w:rPr>
          <w:rFonts w:hint="eastAsia"/>
          <w:spacing w:val="4"/>
          <w:sz w:val="24"/>
        </w:rPr>
        <w:t>公章</w:t>
      </w:r>
      <w:r>
        <w:rPr>
          <w:rFonts w:hint="eastAsia" w:ascii="宋体"/>
          <w:sz w:val="24"/>
        </w:rPr>
        <w:t>）：</w:t>
      </w:r>
    </w:p>
    <w:p>
      <w:pPr>
        <w:spacing w:line="360" w:lineRule="auto"/>
        <w:rPr>
          <w:rFonts w:ascii="宋体"/>
          <w:sz w:val="24"/>
        </w:rPr>
      </w:pPr>
      <w:r>
        <w:rPr>
          <w:rFonts w:hint="eastAsia" w:ascii="宋体"/>
          <w:sz w:val="24"/>
        </w:rPr>
        <w:t>地      址：</w:t>
      </w:r>
    </w:p>
    <w:p>
      <w:pPr>
        <w:tabs>
          <w:tab w:val="left" w:pos="3780"/>
        </w:tabs>
        <w:spacing w:line="360" w:lineRule="auto"/>
        <w:rPr>
          <w:rFonts w:ascii="宋体"/>
          <w:sz w:val="24"/>
        </w:rPr>
      </w:pPr>
      <w:r>
        <w:rPr>
          <w:rFonts w:hint="eastAsia" w:ascii="宋体"/>
          <w:sz w:val="24"/>
        </w:rPr>
        <w:t xml:space="preserve">法定代表人（签字或盖个人名章）：                        签字日期： </w:t>
      </w:r>
      <w:r>
        <w:rPr>
          <w:rFonts w:asci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spacing w:line="360" w:lineRule="auto"/>
        <w:ind w:left="1159" w:leftChars="552" w:firstLine="2261"/>
        <w:rPr>
          <w:rFonts w:ascii="宋体"/>
          <w:sz w:val="24"/>
        </w:rPr>
      </w:pPr>
    </w:p>
    <w:p>
      <w:pPr>
        <w:spacing w:line="360" w:lineRule="auto"/>
        <w:rPr>
          <w:rFonts w:ascii="宋体"/>
          <w:sz w:val="24"/>
        </w:rPr>
      </w:pPr>
      <w:r>
        <w:rPr>
          <w:rFonts w:ascii="宋体"/>
          <w:sz w:val="24"/>
        </w:rPr>
        <mc:AlternateContent>
          <mc:Choice Requires="wpg">
            <w:drawing>
              <wp:anchor distT="0" distB="0" distL="114300" distR="114300" simplePos="0" relativeHeight="251660288"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9" name="组合 6"/>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11" name="矩形 4"/>
                        <wps:cNvSpPr>
                          <a:spLocks noChangeArrowheads="1"/>
                        </wps:cNvSpPr>
                        <wps:spPr bwMode="auto">
                          <a:xfrm>
                            <a:off x="1410" y="9240"/>
                            <a:ext cx="4337" cy="2343"/>
                          </a:xfrm>
                          <a:prstGeom prst="rect">
                            <a:avLst/>
                          </a:prstGeom>
                          <a:solidFill>
                            <a:srgbClr val="FFFFFF"/>
                          </a:solidFill>
                          <a:ln w="9525">
                            <a:solidFill>
                              <a:srgbClr val="000000"/>
                            </a:solidFill>
                            <a:miter lim="800000"/>
                          </a:ln>
                          <a:effectLst/>
                        </wps:spPr>
                        <wps:txbx>
                          <w:txbxContent>
                            <w:p>
                              <w:pPr>
                                <w:jc w:val="center"/>
                              </w:pPr>
                            </w:p>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txbxContent>
                        </wps:txbx>
                        <wps:bodyPr rot="0" vert="horz" wrap="square" lIns="91440" tIns="45720" rIns="91440" bIns="45720" anchor="t" anchorCtr="0" upright="1">
                          <a:noAutofit/>
                        </wps:bodyPr>
                      </wps:wsp>
                      <wps:wsp>
                        <wps:cNvPr id="12" name="矩形 8"/>
                        <wps:cNvSpPr>
                          <a:spLocks noChangeArrowheads="1"/>
                        </wps:cNvSpPr>
                        <wps:spPr bwMode="auto">
                          <a:xfrm>
                            <a:off x="5867" y="9240"/>
                            <a:ext cx="4337" cy="2343"/>
                          </a:xfrm>
                          <a:prstGeom prst="rect">
                            <a:avLst/>
                          </a:prstGeom>
                          <a:solidFill>
                            <a:srgbClr val="FFFFFF"/>
                          </a:solidFill>
                          <a:ln w="9525">
                            <a:solidFill>
                              <a:srgbClr val="000000"/>
                            </a:solidFill>
                            <a:miter lim="800000"/>
                          </a:ln>
                          <a:effectLst/>
                        </wps:spPr>
                        <wps:txbx>
                          <w:txbxContent>
                            <w:p>
                              <w:pPr>
                                <w:jc w:val="center"/>
                              </w:pPr>
                            </w:p>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txbxContent>
                        </wps:txbx>
                        <wps:bodyPr rot="0" vert="horz" wrap="square" lIns="91440" tIns="45720" rIns="91440" bIns="45720" anchor="t" anchorCtr="0" upright="1">
                          <a:noAutofit/>
                        </wps:bodyPr>
                      </wps:wsp>
                    </wpg:wgp>
                  </a:graphicData>
                </a:graphic>
              </wp:anchor>
            </w:drawing>
          </mc:Choice>
          <mc:Fallback>
            <w:pict>
              <v:group id="组合 6" o:spid="_x0000_s1026" o:spt="203" style="position:absolute;left:0pt;margin-left:-1.5pt;margin-top:17.1pt;height:117.15pt;width:439.7pt;z-index:251660288;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AAAAAZHJzL1BLAQIUABQAAAAIAIdO&#10;4kADVGjF2gAAAAkBAAAPAAAAAAAAAAEAIAAAACIAAABkcnMvZG93bnJldi54bWxQSwECFAAUAAAA&#10;CACHTuJAK804ENACAAB1CAAADgAAAAAAAAABACAAAAApAQAAZHJzL2Uyb0RvYy54bWxQSwUGAAAA&#10;AAYABgBZAQAAawYAAAAA&#10;">
                <o:lock v:ext="edit" aspectratio="f"/>
                <v:rect id="矩形 4" o:spid="_x0000_s1026" o:spt="1" style="position:absolute;left:1410;top:9240;height:2343;width:4337;"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p>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（正面）</w:t>
                        </w:r>
                      </w:p>
                      <w:p/>
                    </w:txbxContent>
                  </v:textbox>
                </v:rect>
                <v:rect id="矩形 8" o:spid="_x0000_s1026" o:spt="1" style="position:absolute;left:5867;top:9240;height:2343;width:4337;"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pPr>
                      </w:p>
                      <w:p>
                        <w:pPr>
                          <w:jc w:val="center"/>
                        </w:pPr>
                        <w:r>
                          <w:rPr>
                            <w:rFonts w:hint="eastAsia"/>
                          </w:rPr>
                          <w:t>被授权人（授权代表）</w:t>
                        </w:r>
                      </w:p>
                      <w:p>
                        <w:pPr>
                          <w:jc w:val="center"/>
                        </w:pPr>
                        <w:r>
                          <w:rPr>
                            <w:rFonts w:hint="eastAsia"/>
                          </w:rPr>
                          <w:t>居民身份证复印件粘贴处</w:t>
                        </w:r>
                      </w:p>
                      <w:p>
                        <w:pPr>
                          <w:ind w:firstLine="1050" w:firstLineChars="500"/>
                        </w:pPr>
                      </w:p>
                      <w:p>
                        <w:pPr>
                          <w:jc w:val="center"/>
                        </w:pPr>
                        <w:r>
                          <w:rPr>
                            <w:rFonts w:hint="eastAsia"/>
                          </w:rPr>
                          <w:t>（反面）</w:t>
                        </w:r>
                      </w:p>
                      <w:p/>
                    </w:txbxContent>
                  </v:textbox>
                </v:rect>
              </v:group>
            </w:pict>
          </mc:Fallback>
        </mc:AlternateConten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440" w:lineRule="exact"/>
        <w:rPr>
          <w:rFonts w:ascii="宋体"/>
          <w:sz w:val="24"/>
        </w:rPr>
        <w:sectPr>
          <w:pgSz w:w="11906" w:h="16838"/>
          <w:pgMar w:top="1440" w:right="1286" w:bottom="1440" w:left="1440" w:header="851" w:footer="992" w:gutter="0"/>
          <w:cols w:space="720" w:num="1"/>
          <w:docGrid w:type="lines" w:linePitch="312" w:charSpace="0"/>
        </w:sectPr>
      </w:pPr>
      <w:bookmarkStart w:id="81" w:name="_Toc226217114"/>
    </w:p>
    <w:bookmarkEnd w:id="81"/>
    <w:p>
      <w:pPr>
        <w:tabs>
          <w:tab w:val="left" w:pos="142"/>
        </w:tabs>
        <w:autoSpaceDE w:val="0"/>
        <w:autoSpaceDN w:val="0"/>
        <w:adjustRightInd w:val="0"/>
        <w:spacing w:line="360" w:lineRule="auto"/>
        <w:ind w:left="-2" w:leftChars="-1" w:firstLine="2"/>
        <w:jc w:val="center"/>
        <w:outlineLvl w:val="3"/>
        <w:rPr>
          <w:rFonts w:ascii="黑体" w:hAnsi="黑体" w:eastAsia="黑体"/>
          <w:sz w:val="32"/>
          <w:szCs w:val="32"/>
        </w:rPr>
      </w:pPr>
      <w:bookmarkStart w:id="82" w:name="_Toc435515300"/>
      <w:bookmarkStart w:id="83" w:name="_Toc275865608"/>
      <w:bookmarkStart w:id="84" w:name="_Toc435514860"/>
      <w:r>
        <w:rPr>
          <w:rFonts w:hint="eastAsia" w:ascii="黑体" w:hAnsi="黑体" w:eastAsia="黑体"/>
          <w:sz w:val="32"/>
          <w:szCs w:val="32"/>
        </w:rPr>
        <w:t>法定代表人证明书</w:t>
      </w:r>
      <w:bookmarkEnd w:id="76"/>
      <w:bookmarkEnd w:id="77"/>
      <w:bookmarkEnd w:id="78"/>
      <w:bookmarkEnd w:id="79"/>
      <w:bookmarkEnd w:id="80"/>
      <w:bookmarkEnd w:id="82"/>
      <w:bookmarkEnd w:id="83"/>
      <w:bookmarkEnd w:id="84"/>
    </w:p>
    <w:p>
      <w:pPr>
        <w:tabs>
          <w:tab w:val="left" w:pos="900"/>
        </w:tabs>
        <w:spacing w:line="480" w:lineRule="auto"/>
        <w:ind w:firstLine="1080" w:firstLineChars="450"/>
        <w:rPr>
          <w:rFonts w:ascii="宋体" w:hAnsi="宋体"/>
          <w:sz w:val="24"/>
        </w:rPr>
      </w:pPr>
      <w:r>
        <w:rPr>
          <w:rFonts w:hint="eastAsia" w:ascii="宋体" w:hAnsi="宋体"/>
          <w:sz w:val="24"/>
        </w:rPr>
        <w:t>______________同志，现任我单位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职务，为法定代表人，特此证明。</w:t>
      </w:r>
    </w:p>
    <w:p>
      <w:pPr>
        <w:spacing w:line="360" w:lineRule="auto"/>
        <w:ind w:firstLine="480" w:firstLineChars="200"/>
        <w:rPr>
          <w:rFonts w:ascii="宋体" w:hAnsi="宋体"/>
          <w:sz w:val="24"/>
        </w:rPr>
      </w:pPr>
      <w:r>
        <w:rPr>
          <w:rFonts w:hint="eastAsia" w:ascii="宋体"/>
          <w:sz w:val="24"/>
        </w:rPr>
        <w:t>本证明书自签发之日起生效，</w:t>
      </w:r>
      <w:r>
        <w:rPr>
          <w:rFonts w:hint="eastAsia" w:ascii="宋体" w:hAnsi="宋体"/>
          <w:sz w:val="24"/>
        </w:rPr>
        <w:t>有效期与本公司投标文件中标注的投标有效期相同。</w:t>
      </w:r>
    </w:p>
    <w:p>
      <w:pPr>
        <w:spacing w:line="480" w:lineRule="auto"/>
        <w:ind w:firstLine="480" w:firstLineChars="200"/>
        <w:rPr>
          <w:rFonts w:ascii="宋体" w:hAnsi="宋体"/>
          <w:sz w:val="24"/>
        </w:rPr>
      </w:pPr>
      <w:r>
        <w:rPr>
          <w:rFonts w:hint="eastAsia" w:ascii="宋体" w:hAnsi="宋体"/>
          <w:sz w:val="24"/>
        </w:rPr>
        <w:t>附：</w:t>
      </w:r>
    </w:p>
    <w:p>
      <w:pPr>
        <w:spacing w:line="480" w:lineRule="auto"/>
        <w:ind w:firstLine="960" w:firstLineChars="400"/>
        <w:rPr>
          <w:rFonts w:ascii="宋体" w:hAnsi="宋体"/>
          <w:sz w:val="24"/>
        </w:rPr>
      </w:pPr>
      <w:r>
        <w:rPr>
          <w:rFonts w:hint="eastAsia" w:ascii="宋体" w:hAnsi="宋体"/>
          <w:sz w:val="24"/>
        </w:rPr>
        <w:t xml:space="preserve">营业执照（注册号）： </w:t>
      </w:r>
    </w:p>
    <w:p>
      <w:pPr>
        <w:spacing w:line="480" w:lineRule="auto"/>
        <w:ind w:firstLine="960" w:firstLineChars="400"/>
        <w:rPr>
          <w:rFonts w:ascii="宋体" w:hAnsi="宋体"/>
          <w:sz w:val="24"/>
        </w:rPr>
      </w:pPr>
      <w:r>
        <w:rPr>
          <w:rFonts w:hint="eastAsia" w:ascii="宋体" w:hAnsi="宋体"/>
          <w:sz w:val="24"/>
        </w:rPr>
        <w:t>经济性质：</w:t>
      </w:r>
    </w:p>
    <w:p>
      <w:pPr>
        <w:spacing w:line="480" w:lineRule="auto"/>
        <w:ind w:firstLine="960" w:firstLineChars="400"/>
        <w:rPr>
          <w:rFonts w:ascii="宋体" w:hAnsi="宋体"/>
          <w:sz w:val="24"/>
        </w:rPr>
      </w:pPr>
      <w:r>
        <w:rPr>
          <w:rFonts w:hint="eastAsia" w:ascii="宋体" w:hAnsi="宋体"/>
          <w:sz w:val="24"/>
        </w:rPr>
        <w:t>主营（产）：</w:t>
      </w:r>
    </w:p>
    <w:p>
      <w:pPr>
        <w:spacing w:line="480" w:lineRule="auto"/>
        <w:ind w:firstLine="960" w:firstLineChars="400"/>
        <w:rPr>
          <w:rFonts w:ascii="宋体" w:hAnsi="宋体"/>
          <w:sz w:val="24"/>
        </w:rPr>
      </w:pPr>
      <w:r>
        <w:rPr>
          <w:rFonts w:hint="eastAsia" w:ascii="宋体" w:hAnsi="宋体"/>
          <w:sz w:val="24"/>
        </w:rPr>
        <w:t>兼营（产）：</w:t>
      </w:r>
    </w:p>
    <w:p>
      <w:pPr>
        <w:spacing w:line="360" w:lineRule="auto"/>
        <w:rPr>
          <w:rFonts w:ascii="宋体"/>
          <w:sz w:val="24"/>
        </w:rPr>
      </w:pPr>
      <w:r>
        <w:rPr>
          <w:rFonts w:ascii="宋体"/>
          <w:sz w:val="24"/>
        </w:rPr>
        <mc:AlternateContent>
          <mc:Choice Requires="wpg">
            <w:drawing>
              <wp:anchor distT="0" distB="0" distL="114300" distR="114300" simplePos="0" relativeHeight="251661312" behindDoc="0" locked="0" layoutInCell="1" allowOverlap="1">
                <wp:simplePos x="0" y="0"/>
                <wp:positionH relativeFrom="column">
                  <wp:posOffset>-19050</wp:posOffset>
                </wp:positionH>
                <wp:positionV relativeFrom="paragraph">
                  <wp:posOffset>217170</wp:posOffset>
                </wp:positionV>
                <wp:extent cx="5584190" cy="1487805"/>
                <wp:effectExtent l="4445" t="4445" r="12065" b="12700"/>
                <wp:wrapNone/>
                <wp:docPr id="6" name="组合 3"/>
                <wp:cNvGraphicFramePr/>
                <a:graphic xmlns:a="http://schemas.openxmlformats.org/drawingml/2006/main">
                  <a:graphicData uri="http://schemas.microsoft.com/office/word/2010/wordprocessingGroup">
                    <wpg:wgp>
                      <wpg:cNvGrpSpPr/>
                      <wpg:grpSpPr>
                        <a:xfrm>
                          <a:off x="0" y="0"/>
                          <a:ext cx="5584190" cy="1487805"/>
                          <a:chOff x="1410" y="9240"/>
                          <a:chExt cx="8794" cy="2343"/>
                        </a:xfrm>
                        <a:effectLst/>
                      </wpg:grpSpPr>
                      <wps:wsp>
                        <wps:cNvPr id="7" name="矩形 11"/>
                        <wps:cNvSpPr>
                          <a:spLocks noChangeArrowheads="1"/>
                        </wps:cNvSpPr>
                        <wps:spPr bwMode="auto">
                          <a:xfrm>
                            <a:off x="1410" y="9240"/>
                            <a:ext cx="4337" cy="2343"/>
                          </a:xfrm>
                          <a:prstGeom prst="rect">
                            <a:avLst/>
                          </a:prstGeom>
                          <a:solidFill>
                            <a:srgbClr val="FFFFFF"/>
                          </a:solidFill>
                          <a:ln w="9525">
                            <a:solidFill>
                              <a:srgbClr val="000000"/>
                            </a:solidFill>
                            <a:miter lim="800000"/>
                          </a:ln>
                          <a:effectLst/>
                        </wps:spPr>
                        <wps:txbx>
                          <w:txbxContent>
                            <w:p>
                              <w:pPr>
                                <w:jc w:val="center"/>
                              </w:pPr>
                              <w:r>
                                <w:rPr>
                                  <w:rFonts w:hint="eastAsia"/>
                                </w:rPr>
                                <w:t>法定代表人</w:t>
                              </w:r>
                            </w:p>
                            <w:p>
                              <w:pPr>
                                <w:jc w:val="center"/>
                              </w:pPr>
                              <w:r>
                                <w:rPr>
                                  <w:rFonts w:hint="eastAsia"/>
                                </w:rPr>
                                <w:t>居民身份证复印件</w:t>
                              </w:r>
                            </w:p>
                            <w:p>
                              <w:pPr>
                                <w:ind w:firstLine="1050" w:firstLineChars="500"/>
                              </w:pPr>
                            </w:p>
                            <w:p>
                              <w:pPr>
                                <w:jc w:val="center"/>
                              </w:pPr>
                              <w:r>
                                <w:rPr>
                                  <w:rFonts w:hint="eastAsia"/>
                                </w:rPr>
                                <w:t>（正面）</w:t>
                              </w:r>
                            </w:p>
                            <w:p/>
                          </w:txbxContent>
                        </wps:txbx>
                        <wps:bodyPr rot="0" vert="horz" wrap="square" lIns="91440" tIns="45720" rIns="91440" bIns="45720" anchor="t" anchorCtr="0" upright="1">
                          <a:noAutofit/>
                        </wps:bodyPr>
                      </wps:wsp>
                      <wps:wsp>
                        <wps:cNvPr id="8" name="矩形 12"/>
                        <wps:cNvSpPr>
                          <a:spLocks noChangeArrowheads="1"/>
                        </wps:cNvSpPr>
                        <wps:spPr bwMode="auto">
                          <a:xfrm>
                            <a:off x="5867" y="9240"/>
                            <a:ext cx="4337" cy="2343"/>
                          </a:xfrm>
                          <a:prstGeom prst="rect">
                            <a:avLst/>
                          </a:prstGeom>
                          <a:solidFill>
                            <a:srgbClr val="FFFFFF"/>
                          </a:solidFill>
                          <a:ln w="9525">
                            <a:solidFill>
                              <a:srgbClr val="000000"/>
                            </a:solidFill>
                            <a:miter lim="800000"/>
                          </a:ln>
                          <a:effectLst/>
                        </wps:spPr>
                        <wps:txbx>
                          <w:txbxContent>
                            <w:p>
                              <w:pPr>
                                <w:jc w:val="center"/>
                              </w:pPr>
                              <w:r>
                                <w:rPr>
                                  <w:rFonts w:hint="eastAsia"/>
                                </w:rPr>
                                <w:t>法定代表人</w:t>
                              </w:r>
                            </w:p>
                            <w:p>
                              <w:pPr>
                                <w:jc w:val="center"/>
                              </w:pPr>
                              <w:r>
                                <w:rPr>
                                  <w:rFonts w:hint="eastAsia"/>
                                </w:rPr>
                                <w:t>居民身份证复印件</w:t>
                              </w:r>
                            </w:p>
                            <w:p>
                              <w:pPr>
                                <w:ind w:firstLine="1050" w:firstLineChars="500"/>
                              </w:pPr>
                            </w:p>
                            <w:p>
                              <w:pPr>
                                <w:jc w:val="center"/>
                              </w:pPr>
                              <w:r>
                                <w:rPr>
                                  <w:rFonts w:hint="eastAsia"/>
                                </w:rPr>
                                <w:t>（反面）</w:t>
                              </w:r>
                            </w:p>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1.5pt;margin-top:17.1pt;height:117.15pt;width:439.7pt;z-index:251661312;mso-width-relative:page;mso-height-relative:page;" coordorigin="1410,9240" coordsize="8794,2343" o:gfxdata="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ANUaMXaAAAACQEAAA8AAAAAAAAAAQAgAAAAIgAAAGRycy9kb3ducmV2LnhtbFBLAQIU&#10;ABQAAAAIAIdO4kCC+1f61QIAAHUIAAAOAAAAAAAAAAEAIAAAACkBAABkcnMvZTJvRG9jLnhtbFBL&#10;BQYAAAAABgAGAFkBAABwBgAAAAA=&#10;">
                <o:lock v:ext="edit" aspectratio="f"/>
                <v:rect id="矩形 11" o:spid="_x0000_s1026" o:spt="1" style="position:absolute;left:1410;top:9240;height:2343;width:4337;"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pPr>
                        <w:r>
                          <w:rPr>
                            <w:rFonts w:hint="eastAsia"/>
                          </w:rPr>
                          <w:t>法定代表人</w:t>
                        </w:r>
                      </w:p>
                      <w:p>
                        <w:pPr>
                          <w:jc w:val="center"/>
                        </w:pPr>
                        <w:r>
                          <w:rPr>
                            <w:rFonts w:hint="eastAsia"/>
                          </w:rPr>
                          <w:t>居民身份证复印件</w:t>
                        </w:r>
                      </w:p>
                      <w:p>
                        <w:pPr>
                          <w:ind w:firstLine="1050" w:firstLineChars="500"/>
                        </w:pPr>
                      </w:p>
                      <w:p>
                        <w:pPr>
                          <w:jc w:val="center"/>
                        </w:pPr>
                        <w:r>
                          <w:rPr>
                            <w:rFonts w:hint="eastAsia"/>
                          </w:rPr>
                          <w:t>（正面）</w:t>
                        </w:r>
                      </w:p>
                      <w:p/>
                    </w:txbxContent>
                  </v:textbox>
                </v:rect>
                <v:rect id="矩形 12" o:spid="_x0000_s1026" o:spt="1" style="position:absolute;left:5867;top:9240;height:2343;width:4337;"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jc w:val="center"/>
                        </w:pPr>
                        <w:r>
                          <w:rPr>
                            <w:rFonts w:hint="eastAsia"/>
                          </w:rPr>
                          <w:t>法定代表人</w:t>
                        </w:r>
                      </w:p>
                      <w:p>
                        <w:pPr>
                          <w:jc w:val="center"/>
                        </w:pPr>
                        <w:r>
                          <w:rPr>
                            <w:rFonts w:hint="eastAsia"/>
                          </w:rPr>
                          <w:t>居民身份证复印件</w:t>
                        </w:r>
                      </w:p>
                      <w:p>
                        <w:pPr>
                          <w:ind w:firstLine="1050" w:firstLineChars="500"/>
                        </w:pPr>
                      </w:p>
                      <w:p>
                        <w:pPr>
                          <w:jc w:val="center"/>
                        </w:pPr>
                        <w:r>
                          <w:rPr>
                            <w:rFonts w:hint="eastAsia"/>
                          </w:rPr>
                          <w:t>（反面）</w:t>
                        </w:r>
                      </w:p>
                      <w:p/>
                    </w:txbxContent>
                  </v:textbox>
                </v:rect>
              </v:group>
            </w:pict>
          </mc:Fallback>
        </mc:AlternateConten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500" w:lineRule="exact"/>
        <w:rPr>
          <w:rFonts w:ascii="宋体"/>
          <w:b/>
          <w:bCs/>
          <w:sz w:val="24"/>
        </w:rPr>
      </w:pPr>
    </w:p>
    <w:p>
      <w:pPr>
        <w:spacing w:line="500" w:lineRule="exact"/>
        <w:rPr>
          <w:rFonts w:ascii="宋体"/>
          <w:b/>
          <w:bCs/>
          <w:sz w:val="24"/>
        </w:rPr>
      </w:pPr>
    </w:p>
    <w:p>
      <w:pPr>
        <w:spacing w:line="500" w:lineRule="exact"/>
        <w:ind w:firstLine="5160" w:firstLineChars="2150"/>
        <w:rPr>
          <w:rFonts w:ascii="宋体" w:hAnsi="宋体"/>
          <w:sz w:val="24"/>
        </w:rPr>
      </w:pPr>
      <w:r>
        <w:rPr>
          <w:rFonts w:hint="eastAsia" w:ascii="宋体" w:hAnsi="宋体"/>
          <w:sz w:val="24"/>
        </w:rPr>
        <w:t>投标人名称（单位盖</w:t>
      </w:r>
      <w:r>
        <w:rPr>
          <w:rFonts w:hint="eastAsia"/>
          <w:spacing w:val="4"/>
          <w:sz w:val="24"/>
        </w:rPr>
        <w:t>公章</w:t>
      </w:r>
      <w:r>
        <w:rPr>
          <w:rFonts w:hint="eastAsia" w:ascii="宋体" w:hAnsi="宋体"/>
          <w:sz w:val="24"/>
        </w:rPr>
        <w:t>）：</w:t>
      </w:r>
    </w:p>
    <w:p>
      <w:pPr>
        <w:spacing w:line="500" w:lineRule="exact"/>
        <w:rPr>
          <w:rFonts w:ascii="宋体" w:hAnsi="宋体"/>
          <w:sz w:val="24"/>
        </w:rPr>
      </w:pPr>
      <w:r>
        <w:rPr>
          <w:rFonts w:hint="eastAsia" w:ascii="宋体" w:hAnsi="宋体"/>
          <w:sz w:val="24"/>
        </w:rPr>
        <w:t xml:space="preserve">                                           地址：</w:t>
      </w:r>
    </w:p>
    <w:p>
      <w:pPr>
        <w:spacing w:line="500" w:lineRule="exact"/>
        <w:rPr>
          <w:rFonts w:ascii="宋体"/>
          <w:b/>
          <w:bCs/>
          <w:sz w:val="24"/>
        </w:rPr>
      </w:pPr>
      <w:r>
        <w:rPr>
          <w:rFonts w:hint="eastAsia" w:ascii="宋体" w:hAnsi="宋体"/>
          <w:sz w:val="24"/>
        </w:rPr>
        <w:t xml:space="preserve">                                           签发日期：</w:t>
      </w:r>
    </w:p>
    <w:p>
      <w:pPr>
        <w:numPr>
          <w:ilvl w:val="0"/>
          <w:numId w:val="54"/>
        </w:numPr>
        <w:spacing w:line="440" w:lineRule="exact"/>
        <w:rPr>
          <w:rFonts w:ascii="宋体"/>
          <w:bCs/>
          <w:sz w:val="24"/>
        </w:rPr>
      </w:pPr>
      <w:r>
        <w:rPr>
          <w:rFonts w:ascii="宋体"/>
          <w:b/>
          <w:bCs/>
          <w:sz w:val="24"/>
        </w:rPr>
        <w:br w:type="page"/>
      </w:r>
      <w:bookmarkStart w:id="85" w:name="_Toc50737298"/>
      <w:bookmarkStart w:id="86" w:name="_Toc170699948"/>
      <w:bookmarkStart w:id="87" w:name="_Toc50736478"/>
      <w:bookmarkStart w:id="88" w:name="_Toc50737330"/>
      <w:bookmarkStart w:id="89" w:name="_Toc87417460"/>
      <w:bookmarkStart w:id="90" w:name="_Toc275865609"/>
      <w:bookmarkStart w:id="91" w:name="_Toc50691038"/>
      <w:bookmarkStart w:id="92" w:name="_Toc52165082"/>
      <w:bookmarkStart w:id="93" w:name="_Toc239051894"/>
    </w:p>
    <w:bookmarkEnd w:id="85"/>
    <w:bookmarkEnd w:id="86"/>
    <w:bookmarkEnd w:id="87"/>
    <w:bookmarkEnd w:id="88"/>
    <w:bookmarkEnd w:id="89"/>
    <w:bookmarkEnd w:id="90"/>
    <w:bookmarkEnd w:id="91"/>
    <w:bookmarkEnd w:id="92"/>
    <w:bookmarkEnd w:id="93"/>
    <w:p>
      <w:pPr>
        <w:tabs>
          <w:tab w:val="left" w:pos="142"/>
        </w:tabs>
        <w:autoSpaceDE w:val="0"/>
        <w:autoSpaceDN w:val="0"/>
        <w:adjustRightInd w:val="0"/>
        <w:spacing w:line="360" w:lineRule="auto"/>
        <w:ind w:left="-2" w:leftChars="-1" w:firstLine="2"/>
        <w:jc w:val="center"/>
        <w:outlineLvl w:val="3"/>
        <w:rPr>
          <w:rFonts w:ascii="黑体" w:hAnsi="黑体" w:eastAsia="黑体"/>
          <w:sz w:val="32"/>
          <w:szCs w:val="32"/>
        </w:rPr>
      </w:pPr>
      <w:bookmarkStart w:id="94" w:name="_Toc435515310"/>
      <w:bookmarkStart w:id="95" w:name="_Toc435514870"/>
      <w:bookmarkStart w:id="96" w:name="_Toc50737333"/>
      <w:bookmarkStart w:id="97" w:name="_Toc50703730"/>
      <w:bookmarkStart w:id="98" w:name="_Toc43264525"/>
      <w:bookmarkStart w:id="99" w:name="_Toc50737301"/>
      <w:bookmarkStart w:id="100" w:name="_Toc50691044"/>
      <w:bookmarkStart w:id="101" w:name="_Toc275865617"/>
      <w:bookmarkStart w:id="102" w:name="_Toc52165085"/>
      <w:bookmarkStart w:id="103" w:name="_Toc50691037"/>
      <w:bookmarkStart w:id="104" w:name="_Toc50736481"/>
      <w:bookmarkStart w:id="105" w:name="_Toc43264518"/>
      <w:r>
        <w:rPr>
          <w:rFonts w:hint="eastAsia" w:ascii="黑体" w:hAnsi="黑体" w:eastAsia="黑体"/>
          <w:sz w:val="32"/>
          <w:szCs w:val="32"/>
        </w:rPr>
        <w:t>服务方案</w:t>
      </w:r>
    </w:p>
    <w:p>
      <w:pPr>
        <w:spacing w:line="440" w:lineRule="exact"/>
        <w:rPr>
          <w:bCs/>
          <w:sz w:val="24"/>
        </w:rPr>
      </w:pPr>
    </w:p>
    <w:p>
      <w:pPr>
        <w:spacing w:line="440" w:lineRule="exact"/>
        <w:rPr>
          <w:rFonts w:ascii="宋体" w:hAnsi="宋体"/>
          <w:sz w:val="24"/>
        </w:rPr>
      </w:pPr>
      <w:r>
        <w:rPr>
          <w:rFonts w:hint="eastAsia"/>
          <w:bCs/>
          <w:sz w:val="24"/>
        </w:rPr>
        <w:t>备注：</w:t>
      </w:r>
      <w:r>
        <w:rPr>
          <w:rFonts w:hint="eastAsia" w:ascii="宋体" w:hAnsi="宋体"/>
          <w:sz w:val="24"/>
        </w:rPr>
        <w:t>根据评分表的要求提交相应资料。</w:t>
      </w:r>
    </w:p>
    <w:p>
      <w:pPr>
        <w:spacing w:line="500" w:lineRule="exact"/>
        <w:rPr>
          <w:spacing w:val="4"/>
          <w:sz w:val="24"/>
        </w:rPr>
      </w:pPr>
    </w:p>
    <w:p>
      <w:pPr>
        <w:jc w:val="left"/>
        <w:rPr>
          <w:rFonts w:ascii="黑体" w:hAnsi="黑体" w:eastAsia="黑体"/>
          <w:sz w:val="32"/>
          <w:szCs w:val="32"/>
        </w:rPr>
      </w:pPr>
      <w:r>
        <w:rPr>
          <w:rFonts w:hint="eastAsia" w:ascii="黑体" w:hAnsi="黑体" w:eastAsia="黑体"/>
          <w:sz w:val="32"/>
          <w:szCs w:val="32"/>
        </w:rPr>
        <w:br w:type="page"/>
      </w:r>
    </w:p>
    <w:p>
      <w:pPr>
        <w:tabs>
          <w:tab w:val="left" w:pos="142"/>
        </w:tabs>
        <w:autoSpaceDE w:val="0"/>
        <w:autoSpaceDN w:val="0"/>
        <w:adjustRightInd w:val="0"/>
        <w:spacing w:line="360" w:lineRule="auto"/>
        <w:ind w:left="-2" w:leftChars="-1" w:firstLine="2"/>
        <w:jc w:val="center"/>
        <w:outlineLvl w:val="3"/>
        <w:rPr>
          <w:rFonts w:ascii="黑体" w:hAnsi="黑体" w:eastAsia="黑体"/>
          <w:sz w:val="32"/>
          <w:szCs w:val="32"/>
        </w:rPr>
      </w:pPr>
      <w:r>
        <w:rPr>
          <w:rFonts w:hint="eastAsia" w:ascii="黑体" w:hAnsi="黑体" w:eastAsia="黑体"/>
          <w:sz w:val="32"/>
          <w:szCs w:val="32"/>
        </w:rPr>
        <w:t>其他资料</w:t>
      </w:r>
    </w:p>
    <w:p>
      <w:pPr>
        <w:spacing w:line="440" w:lineRule="exact"/>
        <w:rPr>
          <w:rFonts w:ascii="宋体" w:hAnsi="宋体"/>
          <w:sz w:val="24"/>
        </w:rPr>
      </w:pPr>
      <w:r>
        <w:rPr>
          <w:rFonts w:hint="eastAsia"/>
          <w:bCs/>
          <w:sz w:val="24"/>
        </w:rPr>
        <w:t>备注：</w:t>
      </w:r>
      <w:r>
        <w:rPr>
          <w:rFonts w:hint="eastAsia" w:ascii="宋体" w:hAnsi="宋体"/>
          <w:sz w:val="24"/>
        </w:rPr>
        <w:t>根据投标人需求和评分表的要求提交相应资料。</w:t>
      </w:r>
    </w:p>
    <w:p>
      <w:pPr>
        <w:spacing w:line="440" w:lineRule="exact"/>
        <w:rPr>
          <w:spacing w:val="4"/>
          <w:sz w:val="24"/>
        </w:rPr>
      </w:pPr>
    </w:p>
    <w:p>
      <w:pPr>
        <w:spacing w:line="440" w:lineRule="exact"/>
        <w:rPr>
          <w:spacing w:val="4"/>
          <w:sz w:val="24"/>
        </w:rPr>
        <w:sectPr>
          <w:pgSz w:w="11906" w:h="16838"/>
          <w:pgMar w:top="1440" w:right="1286" w:bottom="1440" w:left="1560" w:header="851" w:footer="992" w:gutter="0"/>
          <w:cols w:space="720" w:num="1"/>
          <w:docGrid w:type="lines" w:linePitch="312" w:charSpace="0"/>
        </w:sectPr>
      </w:pPr>
    </w:p>
    <w:bookmarkEnd w:id="94"/>
    <w:bookmarkEnd w:id="95"/>
    <w:bookmarkEnd w:id="96"/>
    <w:bookmarkEnd w:id="97"/>
    <w:bookmarkEnd w:id="98"/>
    <w:bookmarkEnd w:id="99"/>
    <w:bookmarkEnd w:id="100"/>
    <w:bookmarkEnd w:id="101"/>
    <w:bookmarkEnd w:id="102"/>
    <w:bookmarkEnd w:id="103"/>
    <w:bookmarkEnd w:id="104"/>
    <w:bookmarkEnd w:id="105"/>
    <w:p>
      <w:pPr>
        <w:tabs>
          <w:tab w:val="left" w:pos="142"/>
        </w:tabs>
        <w:autoSpaceDE w:val="0"/>
        <w:autoSpaceDN w:val="0"/>
        <w:adjustRightInd w:val="0"/>
        <w:spacing w:line="360" w:lineRule="auto"/>
        <w:ind w:left="-2" w:leftChars="-1" w:firstLine="2"/>
        <w:jc w:val="center"/>
        <w:outlineLvl w:val="3"/>
        <w:rPr>
          <w:rFonts w:ascii="黑体" w:hAnsi="黑体" w:eastAsia="黑体"/>
          <w:sz w:val="32"/>
          <w:szCs w:val="32"/>
        </w:rPr>
      </w:pPr>
      <w:r>
        <w:rPr>
          <w:rFonts w:hint="eastAsia" w:ascii="黑体" w:hAnsi="黑体" w:eastAsia="黑体"/>
          <w:sz w:val="32"/>
          <w:szCs w:val="32"/>
        </w:rPr>
        <w:t>采购代理服务费承诺书</w:t>
      </w:r>
    </w:p>
    <w:p>
      <w:pPr>
        <w:adjustRightInd w:val="0"/>
        <w:snapToGrid w:val="0"/>
        <w:spacing w:line="360" w:lineRule="auto"/>
        <w:rPr>
          <w:rFonts w:ascii="宋体" w:hAnsi="宋体"/>
          <w:b/>
          <w:sz w:val="24"/>
        </w:rPr>
      </w:pPr>
    </w:p>
    <w:p>
      <w:pPr>
        <w:adjustRightInd w:val="0"/>
        <w:snapToGrid w:val="0"/>
        <w:spacing w:line="360" w:lineRule="auto"/>
        <w:rPr>
          <w:rFonts w:ascii="宋体" w:hAnsi="宋体"/>
          <w:b/>
          <w:sz w:val="24"/>
        </w:rPr>
      </w:pPr>
      <w:r>
        <w:rPr>
          <w:rFonts w:hint="eastAsia" w:ascii="宋体" w:hAnsi="宋体"/>
          <w:b/>
          <w:sz w:val="24"/>
        </w:rPr>
        <w:t>广州市白云城市建设投资有限公司:</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cs="宋体"/>
          <w:sz w:val="24"/>
        </w:rPr>
      </w:pPr>
      <w:r>
        <w:rPr>
          <w:rFonts w:hint="eastAsia" w:ascii="宋体" w:hAnsi="宋体"/>
          <w:sz w:val="24"/>
        </w:rPr>
        <w:t>本公司</w:t>
      </w:r>
      <w:r>
        <w:rPr>
          <w:rFonts w:hint="eastAsia" w:ascii="宋体" w:hAnsi="宋体"/>
          <w:sz w:val="24"/>
          <w:u w:val="single"/>
        </w:rPr>
        <w:t xml:space="preserve">       (投标人名称)      </w:t>
      </w:r>
      <w:r>
        <w:rPr>
          <w:rFonts w:hint="eastAsia" w:ascii="宋体" w:hAnsi="宋体"/>
          <w:sz w:val="24"/>
        </w:rPr>
        <w:t>在参加</w:t>
      </w:r>
      <w:r>
        <w:rPr>
          <w:rFonts w:hint="eastAsia" w:ascii="宋体" w:hAnsi="宋体"/>
          <w:sz w:val="24"/>
          <w:u w:val="single"/>
        </w:rPr>
        <w:t>广州市白云城市开发投资集团有限公司2023年9月至2024年8月食材配送服务项目（项目编号：BYJSCG-23-0005）</w:t>
      </w:r>
      <w:r>
        <w:rPr>
          <w:rFonts w:hint="eastAsia" w:ascii="宋体" w:hAnsi="宋体"/>
          <w:sz w:val="24"/>
        </w:rPr>
        <w:t>的招标中如获中标</w:t>
      </w:r>
      <w:r>
        <w:rPr>
          <w:rFonts w:hint="eastAsia" w:ascii="宋体" w:cs="宋体"/>
          <w:sz w:val="24"/>
        </w:rPr>
        <w:t>，我公司保证按照招标文件</w:t>
      </w:r>
      <w:r>
        <w:rPr>
          <w:rFonts w:hint="eastAsia" w:ascii="宋体" w:hAnsi="宋体"/>
          <w:sz w:val="24"/>
        </w:rPr>
        <w:t>的</w:t>
      </w:r>
      <w:r>
        <w:rPr>
          <w:rFonts w:hint="eastAsia" w:ascii="宋体" w:cs="宋体"/>
          <w:sz w:val="24"/>
        </w:rPr>
        <w:t>规定缴纳“采购代理服务费”。如采用电汇或银行转账，我公司将同时递交采购代理服务费缴费凭证复印件。</w:t>
      </w:r>
    </w:p>
    <w:p>
      <w:pPr>
        <w:adjustRightInd w:val="0"/>
        <w:snapToGrid w:val="0"/>
        <w:spacing w:line="360" w:lineRule="auto"/>
        <w:ind w:firstLine="480" w:firstLineChars="200"/>
        <w:rPr>
          <w:rFonts w:ascii="宋体" w:hAnsi="宋体"/>
          <w:sz w:val="24"/>
        </w:rPr>
      </w:pPr>
      <w:r>
        <w:rPr>
          <w:rFonts w:hint="eastAsia" w:ascii="宋体" w:hAnsi="宋体"/>
          <w:sz w:val="24"/>
        </w:rPr>
        <w:t>如我公司违反上款承诺,愿承担由此引起的一切法律责任。</w:t>
      </w:r>
    </w:p>
    <w:p>
      <w:pPr>
        <w:adjustRightInd w:val="0"/>
        <w:snapToGrid w:val="0"/>
        <w:spacing w:line="360" w:lineRule="auto"/>
        <w:ind w:firstLine="480" w:firstLineChars="200"/>
        <w:rPr>
          <w:rFonts w:ascii="宋体" w:hAnsi="宋体"/>
          <w:sz w:val="24"/>
        </w:rPr>
      </w:pPr>
      <w:r>
        <w:rPr>
          <w:rFonts w:hint="eastAsia" w:ascii="宋体" w:hAnsi="宋体"/>
          <w:sz w:val="24"/>
        </w:rPr>
        <w:t>特此承诺!</w:t>
      </w:r>
      <w:r>
        <w:rPr>
          <w:rFonts w:ascii="宋体" w:hAnsi="宋体"/>
          <w:sz w:val="24"/>
        </w:rPr>
        <w:tab/>
      </w:r>
    </w:p>
    <w:p>
      <w:pPr>
        <w:spacing w:line="360" w:lineRule="auto"/>
        <w:ind w:left="315"/>
        <w:jc w:val="left"/>
        <w:rPr>
          <w:rFonts w:ascii="宋体" w:hAnsi="宋体"/>
          <w:sz w:val="24"/>
        </w:rPr>
      </w:pPr>
    </w:p>
    <w:p>
      <w:pPr>
        <w:spacing w:line="360" w:lineRule="auto"/>
        <w:ind w:left="315"/>
        <w:jc w:val="left"/>
        <w:rPr>
          <w:rFonts w:ascii="宋体" w:hAnsi="宋体"/>
          <w:sz w:val="24"/>
        </w:rPr>
      </w:pPr>
    </w:p>
    <w:p>
      <w:pPr>
        <w:spacing w:line="360" w:lineRule="auto"/>
        <w:ind w:left="315"/>
        <w:jc w:val="left"/>
        <w:rPr>
          <w:rFonts w:ascii="宋体" w:hAnsi="宋体"/>
          <w:sz w:val="24"/>
        </w:rPr>
      </w:pPr>
      <w:r>
        <w:rPr>
          <w:rFonts w:hint="eastAsia" w:ascii="宋体" w:hAnsi="宋体"/>
          <w:sz w:val="24"/>
        </w:rPr>
        <w:t>投标人名称(盖公章):</w:t>
      </w:r>
    </w:p>
    <w:p>
      <w:pPr>
        <w:spacing w:line="360" w:lineRule="auto"/>
        <w:ind w:left="315"/>
        <w:jc w:val="left"/>
        <w:rPr>
          <w:rFonts w:ascii="宋体" w:hAnsi="宋体"/>
          <w:sz w:val="24"/>
        </w:rPr>
      </w:pPr>
      <w:r>
        <w:rPr>
          <w:rFonts w:hint="eastAsia" w:ascii="宋体" w:hAnsi="宋体"/>
          <w:sz w:val="24"/>
        </w:rPr>
        <w:t>日期：</w:t>
      </w:r>
    </w:p>
    <w:p>
      <w:pPr>
        <w:spacing w:line="360" w:lineRule="auto"/>
        <w:ind w:left="315"/>
        <w:jc w:val="left"/>
        <w:rPr>
          <w:rFonts w:ascii="宋体" w:hAnsi="宋体"/>
          <w:strike/>
          <w:sz w:val="24"/>
        </w:rPr>
      </w:pPr>
    </w:p>
    <w:p>
      <w:pPr>
        <w:widowControl/>
        <w:jc w:val="left"/>
        <w:rPr>
          <w:rFonts w:ascii="Arial" w:hAnsi="Arial" w:eastAsia="黑体"/>
          <w:bCs/>
          <w:sz w:val="32"/>
          <w:szCs w:val="32"/>
        </w:rPr>
      </w:pPr>
    </w:p>
    <w:p/>
    <w:sectPr>
      <w:pgSz w:w="11906" w:h="16838"/>
      <w:pgMar w:top="1440" w:right="1286"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Bodoni MT Condensed">
    <w:panose1 w:val="02070606080606020203"/>
    <w:charset w:val="00"/>
    <w:family w:val="roman"/>
    <w:pitch w:val="default"/>
    <w:sig w:usb0="00000003" w:usb1="00000000" w:usb2="00000000" w:usb3="00000000" w:csb0="20000001" w:csb1="00000000"/>
  </w:font>
  <w:font w:name="汉鼎简书宋">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Arial Unicode MS">
    <w:panose1 w:val="020B0604020202020204"/>
    <w:charset w:val="86"/>
    <w:family w:val="swiss"/>
    <w:pitch w:val="default"/>
    <w:sig w:usb0="F7FFAEFF" w:usb1="F9DFFFFF" w:usb2="0000007F" w:usb3="00000000" w:csb0="203F01FF" w:csb1="D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9919335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81.05pt;height:144pt;width:144pt;mso-position-horizontal:center;mso-position-horizontal-relative:margin;mso-position-vertical-relative:page;mso-wrap-style:none;z-index:251659264;mso-width-relative:page;mso-height-relative:page;" filled="f" stroked="f" coordsize="21600,21600" o:gfxdata="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srwVc1gAAAAo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9"/>
      </w:rPr>
    </w:pPr>
    <w:r>
      <w:fldChar w:fldCharType="begin"/>
    </w:r>
    <w:r>
      <w:rPr>
        <w:rStyle w:val="59"/>
      </w:rPr>
      <w:instrText xml:space="preserve">PAGE  </w:instrText>
    </w:r>
    <w:r>
      <w:fldChar w:fldCharType="separate"/>
    </w:r>
    <w:r>
      <w:rPr>
        <w:rStyle w:val="59"/>
      </w:rPr>
      <w:t>2</w: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rFonts w:hint="eastAsia"/>
      </w:rPr>
      <w:t xml:space="preserve">http://www.chinapsp.cn/                              </w:t>
    </w:r>
    <w:r>
      <w:fldChar w:fldCharType="begin"/>
    </w:r>
    <w:r>
      <w:rPr>
        <w:rStyle w:val="59"/>
      </w:rPr>
      <w:instrText xml:space="preserve"> PAGE </w:instrText>
    </w:r>
    <w:r>
      <w:fldChar w:fldCharType="separate"/>
    </w:r>
    <w:r>
      <w:rPr>
        <w:rStyle w:val="59"/>
      </w:rPr>
      <w:t>2</w:t>
    </w:r>
    <w:r>
      <w:fldChar w:fldCharType="end"/>
    </w:r>
    <w:r>
      <w:rPr>
        <w:rFonts w:hint="eastAsia"/>
      </w:rPr>
      <w:t>广东采联采购科技有限公司</w:t>
    </w: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line="14" w:lineRule="auto"/>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ge">
                <wp:posOffset>9919335</wp:posOffset>
              </wp:positionV>
              <wp:extent cx="1060450" cy="1524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060450" cy="152400"/>
                      </a:xfrm>
                      <a:prstGeom prst="rect">
                        <a:avLst/>
                      </a:prstGeom>
                      <a:noFill/>
                      <a:ln>
                        <a:noFill/>
                      </a:ln>
                    </wps:spPr>
                    <wps:txbx>
                      <w:txbxContent>
                        <w:p>
                          <w:pPr>
                            <w:spacing w:line="225" w:lineRule="exact"/>
                            <w:ind w:left="2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13</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68</w:t>
                          </w:r>
                          <w:r>
                            <w:rPr>
                              <w:sz w:val="18"/>
                            </w:rPr>
                            <w:fldChar w:fldCharType="end"/>
                          </w:r>
                          <w:r>
                            <w:rPr>
                              <w:sz w:val="18"/>
                            </w:rPr>
                            <w:t xml:space="preserve"> 页</w:t>
                          </w:r>
                        </w:p>
                      </w:txbxContent>
                    </wps:txbx>
                    <wps:bodyPr lIns="0" tIns="0" rIns="0" bIns="0" upright="1"/>
                  </wps:wsp>
                </a:graphicData>
              </a:graphic>
            </wp:anchor>
          </w:drawing>
        </mc:Choice>
        <mc:Fallback>
          <w:pict>
            <v:shape id="文本框 4" o:spid="_x0000_s1026" o:spt="202" type="#_x0000_t202" style="position:absolute;left:0pt;margin-top:781.05pt;height:12pt;width:83.5pt;mso-position-horizontal:center;mso-position-horizontal-relative:margin;mso-position-vertical-relative:page;z-index:251665408;mso-width-relative:page;mso-height-relative:page;" filled="f" stroked="f" coordsize="21600,21600" o:gfxdata="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QQoy1gAAAAoBAAAPAAAAAAAAAAEAIAAAACIAAABkcnMvZG93bnJldi54bWxQSwECFAAU&#10;AAAACACHTuJAbWVPmroBAABzAwAADgAAAAAAAAABACAAAAAlAQAAZHJzL2Uyb0RvYy54bWxQSwUG&#10;AAAAAAYABgBZAQAAUQUAAAAA&#10;">
              <v:fill on="f" focussize="0,0"/>
              <v:stroke on="f"/>
              <v:imagedata o:title=""/>
              <o:lock v:ext="edit" aspectratio="f"/>
              <v:textbox inset="0mm,0mm,0mm,0mm">
                <w:txbxContent>
                  <w:p>
                    <w:pPr>
                      <w:spacing w:line="225" w:lineRule="exact"/>
                      <w:ind w:left="2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13</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68</w:t>
                    </w:r>
                    <w:r>
                      <w:rPr>
                        <w:sz w:val="18"/>
                      </w:rPr>
                      <w:fldChar w:fldCharType="end"/>
                    </w:r>
                    <w:r>
                      <w:rPr>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ge">
                <wp:posOffset>9919335</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4"/>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81.05pt;height:144pt;width:144pt;mso-position-horizontal:center;mso-position-horizontal-relative:margin;mso-position-vertical-relative:page;mso-wrap-style:none;z-index:251663360;mso-width-relative:page;mso-height-relative:page;" filled="f" stroked="f" coordsize="21600,21600" o:gfxdata="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srwVc1gAAAAoBAAAPAAAAAAAAAAEAIAAAACIAAABkcnMvZG93bnJldi54bWxQSwECFAAU&#10;AAAACACHTuJAMgsizCwCAABXBAAADgAAAAAAAAABACAAAAAlAQAAZHJzL2Uyb0RvYy54bWxQSwUG&#10;AAAAAAYABgBZAQAAwwUAAAAA&#10;">
              <v:fill on="f" focussize="0,0"/>
              <v:stroke on="f" weight="0.5pt"/>
              <v:imagedata o:title=""/>
              <o:lock v:ext="edit" aspectratio="f"/>
              <v:textbox inset="0mm,0mm,0mm,0mm" style="mso-fit-shape-to-text:t;">
                <w:txbxContent>
                  <w:p>
                    <w:pPr>
                      <w:pStyle w:val="34"/>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jc w:val="both"/>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pPr>
    <w:r>
      <w:rPr>
        <w:rFonts w:ascii="黑体" w:eastAsia="黑体"/>
        <w:sz w:val="24"/>
      </w:rPr>
      <w:drawing>
        <wp:inline distT="0" distB="0" distL="0" distR="0">
          <wp:extent cx="664845" cy="249555"/>
          <wp:effectExtent l="0" t="0" r="1905" b="0"/>
          <wp:docPr id="10" name="图片 10"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2013确认版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64845" cy="249555"/>
                  </a:xfrm>
                  <a:prstGeom prst="rect">
                    <a:avLst/>
                  </a:prstGeom>
                  <a:noFill/>
                  <a:ln>
                    <a:noFill/>
                  </a:ln>
                </pic:spPr>
              </pic:pic>
            </a:graphicData>
          </a:graphic>
        </wp:inline>
      </w:drawing>
    </w:r>
    <w:r>
      <w:rPr>
        <w:rFonts w:hint="eastAsia" w:ascii="宋体" w:hAnsi="宋体"/>
      </w:rPr>
      <w:t xml:space="preserve"> ︱让︱您︱的︱选︱择︱更︱专︱业︱</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779780</wp:posOffset>
              </wp:positionH>
              <wp:positionV relativeFrom="page">
                <wp:posOffset>535305</wp:posOffset>
              </wp:positionV>
              <wp:extent cx="1625600" cy="139700"/>
              <wp:effectExtent l="0" t="0" r="0" b="0"/>
              <wp:wrapNone/>
              <wp:docPr id="70" name="文本框 2"/>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wps:spPr>
                    <wps:txbx>
                      <w:txbxContent>
                        <w:p>
                          <w:pPr>
                            <w:spacing w:line="220" w:lineRule="exact"/>
                            <w:rPr>
                              <w:sz w:val="18"/>
                            </w:rPr>
                          </w:pPr>
                        </w:p>
                      </w:txbxContent>
                    </wps:txbx>
                    <wps:bodyPr lIns="0" tIns="0" rIns="0" bIns="0" upright="1"/>
                  </wps:wsp>
                </a:graphicData>
              </a:graphic>
            </wp:anchor>
          </w:drawing>
        </mc:Choice>
        <mc:Fallback>
          <w:pict>
            <v:shape id="文本框 2" o:spid="_x0000_s1026" o:spt="202" type="#_x0000_t202" style="position:absolute;left:0pt;margin-left:61.4pt;margin-top:42.15pt;height:11pt;width:128pt;mso-position-horizontal-relative:page;mso-position-vertical-relative:page;z-index:-251652096;mso-width-relative:page;mso-height-relative:page;" filled="f" stroked="f" coordsize="21600,21600" o:gfxdata="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tSMD01wAAAAoBAAAPAAAAAAAAAAEAIAAAACIAAABkcnMvZG93bnJldi54bWxQSwECFAAU&#10;AAAACACHTuJA3A32qrkBAABzAwAADgAAAAAAAAABACAAAAAmAQAAZHJzL2Uyb0RvYy54bWxQSwUG&#10;AAAAAAYABgBZAQAAUQUAAAAA&#10;">
              <v:fill on="f" focussize="0,0"/>
              <v:stroke on="f"/>
              <v:imagedata o:title=""/>
              <o:lock v:ext="edit" aspectratio="f"/>
              <v:textbox inset="0mm,0mm,0mm,0mm">
                <w:txbxContent>
                  <w:p>
                    <w:pPr>
                      <w:spacing w:line="220" w:lineRule="exact"/>
                      <w:rPr>
                        <w:sz w:val="18"/>
                      </w:rPr>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774065</wp:posOffset>
              </wp:positionH>
              <wp:positionV relativeFrom="page">
                <wp:posOffset>705485</wp:posOffset>
              </wp:positionV>
              <wp:extent cx="6014720" cy="0"/>
              <wp:effectExtent l="0" t="0" r="0" b="0"/>
              <wp:wrapNone/>
              <wp:docPr id="69" name="直线 1"/>
              <wp:cNvGraphicFramePr/>
              <a:graphic xmlns:a="http://schemas.openxmlformats.org/drawingml/2006/main">
                <a:graphicData uri="http://schemas.microsoft.com/office/word/2010/wordprocessingShape">
                  <wps:wsp>
                    <wps:cNvCnPr/>
                    <wps:spPr>
                      <a:xfrm>
                        <a:off x="0" y="0"/>
                        <a:ext cx="601472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60.95pt;margin-top:55.55pt;height:0pt;width:473.6pt;mso-position-horizontal-relative:page;mso-position-vertical-relative:page;z-index:-251654144;mso-width-relative:page;mso-height-relative:page;" filled="f" stroked="t" coordsize="21600,21600" o:gfxdata="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p95qDTAAAADAEAAA8AAAAA&#10;AAAAAQAgAAAAIgAAAGRycy9kb3ducmV2LnhtbFBLAQIUABQAAAAIAIdO4kBrT4nj4AEAANADAAAO&#10;AAAAAAAAAAEAIAAAACIBAABkcnMvZTJvRG9jLnhtbFBLBQYAAAAABgAGAFkBAAB0BQ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91148"/>
    <w:multiLevelType w:val="singleLevel"/>
    <w:tmpl w:val="80791148"/>
    <w:lvl w:ilvl="0" w:tentative="0">
      <w:start w:val="1"/>
      <w:numFmt w:val="decimal"/>
      <w:lvlText w:val="(%1)"/>
      <w:lvlJc w:val="left"/>
      <w:pPr>
        <w:ind w:left="425" w:hanging="425"/>
      </w:pPr>
      <w:rPr>
        <w:rFonts w:hint="default" w:ascii="宋体" w:hAnsi="宋体" w:eastAsia="宋体" w:cs="宋体"/>
        <w:sz w:val="24"/>
        <w:szCs w:val="24"/>
      </w:rPr>
    </w:lvl>
  </w:abstractNum>
  <w:abstractNum w:abstractNumId="1">
    <w:nsid w:val="96475B11"/>
    <w:multiLevelType w:val="multilevel"/>
    <w:tmpl w:val="96475B11"/>
    <w:lvl w:ilvl="0" w:tentative="0">
      <w:start w:val="1"/>
      <w:numFmt w:val="chineseCountingThousand"/>
      <w:suff w:val="nothing"/>
      <w:lvlText w:val="(%1)"/>
      <w:lvlJc w:val="left"/>
      <w:pPr>
        <w:ind w:left="0" w:firstLine="0"/>
      </w:pPr>
      <w:rPr>
        <w:rFonts w:hint="eastAsia"/>
        <w:strike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9A23206F"/>
    <w:multiLevelType w:val="multilevel"/>
    <w:tmpl w:val="9A23206F"/>
    <w:lvl w:ilvl="0" w:tentative="0">
      <w:start w:val="1"/>
      <w:numFmt w:val="japaneseCounting"/>
      <w:suff w:val="nothing"/>
      <w:lvlText w:val="%1、"/>
      <w:lvlJc w:val="left"/>
      <w:pPr>
        <w:ind w:left="420" w:hanging="380"/>
      </w:pPr>
      <w:rPr>
        <w:rFonts w:hint="eastAsia"/>
        <w:strike w:val="0"/>
        <w:sz w:val="28"/>
        <w:szCs w:val="28"/>
        <w:lang w:val="en-US"/>
      </w:rPr>
    </w:lvl>
    <w:lvl w:ilvl="1" w:tentative="0">
      <w:start w:val="1"/>
      <w:numFmt w:val="decimal"/>
      <w:lvlText w:val="%2."/>
      <w:lvlJc w:val="left"/>
      <w:pPr>
        <w:ind w:left="3534" w:hanging="420"/>
      </w:pPr>
      <w:rPr>
        <w:rFonts w:hint="eastAsia"/>
      </w:rPr>
    </w:lvl>
    <w:lvl w:ilvl="2" w:tentative="0">
      <w:start w:val="1"/>
      <w:numFmt w:val="decimal"/>
      <w:lvlText w:val="（%3)"/>
      <w:lvlJc w:val="left"/>
      <w:pPr>
        <w:ind w:left="3954" w:hanging="420"/>
      </w:pPr>
      <w:rPr>
        <w:rFonts w:hint="eastAsia"/>
      </w:rPr>
    </w:lvl>
    <w:lvl w:ilvl="3" w:tentative="0">
      <w:start w:val="1"/>
      <w:numFmt w:val="decimal"/>
      <w:lvlText w:val="%4)"/>
      <w:lvlJc w:val="left"/>
      <w:pPr>
        <w:ind w:left="4374" w:hanging="420"/>
      </w:pPr>
      <w:rPr>
        <w:rFonts w:hint="eastAsia"/>
      </w:rPr>
    </w:lvl>
    <w:lvl w:ilvl="4" w:tentative="0">
      <w:start w:val="1"/>
      <w:numFmt w:val="lowerLetter"/>
      <w:lvlText w:val="%5)"/>
      <w:lvlJc w:val="left"/>
      <w:pPr>
        <w:ind w:left="4794" w:hanging="420"/>
      </w:pPr>
      <w:rPr>
        <w:rFonts w:hint="eastAsia"/>
      </w:rPr>
    </w:lvl>
    <w:lvl w:ilvl="5" w:tentative="0">
      <w:start w:val="1"/>
      <w:numFmt w:val="lowerRoman"/>
      <w:lvlText w:val="%6."/>
      <w:lvlJc w:val="right"/>
      <w:pPr>
        <w:ind w:left="5214" w:hanging="420"/>
      </w:pPr>
      <w:rPr>
        <w:rFonts w:hint="eastAsia"/>
      </w:rPr>
    </w:lvl>
    <w:lvl w:ilvl="6" w:tentative="0">
      <w:start w:val="1"/>
      <w:numFmt w:val="decimal"/>
      <w:lvlText w:val="%7."/>
      <w:lvlJc w:val="left"/>
      <w:pPr>
        <w:ind w:left="5634" w:hanging="420"/>
      </w:pPr>
      <w:rPr>
        <w:rFonts w:hint="eastAsia"/>
      </w:rPr>
    </w:lvl>
    <w:lvl w:ilvl="7" w:tentative="0">
      <w:start w:val="1"/>
      <w:numFmt w:val="lowerLetter"/>
      <w:lvlText w:val="%8)"/>
      <w:lvlJc w:val="left"/>
      <w:pPr>
        <w:ind w:left="6054" w:hanging="420"/>
      </w:pPr>
      <w:rPr>
        <w:rFonts w:hint="eastAsia"/>
      </w:rPr>
    </w:lvl>
    <w:lvl w:ilvl="8" w:tentative="0">
      <w:start w:val="1"/>
      <w:numFmt w:val="lowerRoman"/>
      <w:lvlText w:val="%9."/>
      <w:lvlJc w:val="right"/>
      <w:pPr>
        <w:ind w:left="6474" w:hanging="420"/>
      </w:pPr>
      <w:rPr>
        <w:rFonts w:hint="eastAsia"/>
      </w:rPr>
    </w:lvl>
  </w:abstractNum>
  <w:abstractNum w:abstractNumId="3">
    <w:nsid w:val="C60B8BB2"/>
    <w:multiLevelType w:val="multilevel"/>
    <w:tmpl w:val="C60B8BB2"/>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CC11EABB"/>
    <w:multiLevelType w:val="singleLevel"/>
    <w:tmpl w:val="CC11EABB"/>
    <w:lvl w:ilvl="0" w:tentative="0">
      <w:start w:val="1"/>
      <w:numFmt w:val="decimal"/>
      <w:lvlText w:val="(%1)"/>
      <w:lvlJc w:val="left"/>
      <w:pPr>
        <w:ind w:left="425" w:hanging="425"/>
      </w:pPr>
      <w:rPr>
        <w:rFonts w:hint="default" w:ascii="宋体" w:hAnsi="宋体" w:eastAsia="宋体" w:cs="宋体"/>
        <w:sz w:val="24"/>
        <w:szCs w:val="24"/>
      </w:rPr>
    </w:lvl>
  </w:abstractNum>
  <w:abstractNum w:abstractNumId="5">
    <w:nsid w:val="CD80BACC"/>
    <w:multiLevelType w:val="singleLevel"/>
    <w:tmpl w:val="CD80BACC"/>
    <w:lvl w:ilvl="0" w:tentative="0">
      <w:start w:val="1"/>
      <w:numFmt w:val="decimal"/>
      <w:lvlText w:val="%1."/>
      <w:lvlJc w:val="left"/>
      <w:pPr>
        <w:tabs>
          <w:tab w:val="left" w:pos="312"/>
        </w:tabs>
      </w:pPr>
    </w:lvl>
  </w:abstractNum>
  <w:abstractNum w:abstractNumId="6">
    <w:nsid w:val="E3867E74"/>
    <w:multiLevelType w:val="singleLevel"/>
    <w:tmpl w:val="E3867E74"/>
    <w:lvl w:ilvl="0" w:tentative="0">
      <w:start w:val="1"/>
      <w:numFmt w:val="decimal"/>
      <w:lvlText w:val="%1."/>
      <w:lvlJc w:val="left"/>
      <w:pPr>
        <w:tabs>
          <w:tab w:val="left" w:pos="312"/>
        </w:tabs>
      </w:pPr>
    </w:lvl>
  </w:abstractNum>
  <w:abstractNum w:abstractNumId="7">
    <w:nsid w:val="E8577C9F"/>
    <w:multiLevelType w:val="multilevel"/>
    <w:tmpl w:val="E8577C9F"/>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ECED23C4"/>
    <w:multiLevelType w:val="multilevel"/>
    <w:tmpl w:val="ECED23C4"/>
    <w:lvl w:ilvl="0" w:tentative="0">
      <w:start w:val="1"/>
      <w:numFmt w:val="chineseCountingThousand"/>
      <w:suff w:val="nothing"/>
      <w:lvlText w:val="(%1)"/>
      <w:lvlJc w:val="left"/>
      <w:pPr>
        <w:ind w:left="0" w:firstLine="0"/>
      </w:pPr>
      <w:rPr>
        <w:rFonts w:hint="eastAsia"/>
        <w:strike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FB229344"/>
    <w:multiLevelType w:val="multilevel"/>
    <w:tmpl w:val="FB229344"/>
    <w:lvl w:ilvl="0" w:tentative="0">
      <w:start w:val="1"/>
      <w:numFmt w:val="japaneseCounting"/>
      <w:suff w:val="nothing"/>
      <w:lvlText w:val="%1、"/>
      <w:lvlJc w:val="left"/>
      <w:pPr>
        <w:ind w:left="360" w:hanging="360"/>
      </w:pPr>
      <w:rPr>
        <w:rFonts w:hint="eastAsia"/>
        <w:color w:val="auto"/>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04304859"/>
    <w:multiLevelType w:val="multilevel"/>
    <w:tmpl w:val="04304859"/>
    <w:lvl w:ilvl="0" w:tentative="0">
      <w:start w:val="1"/>
      <w:numFmt w:val="decimal"/>
      <w:lvlText w:val="%1."/>
      <w:lvlJc w:val="left"/>
      <w:pPr>
        <w:ind w:left="840" w:hanging="420"/>
      </w:pPr>
      <w:rPr>
        <w:rFonts w:hint="eastAsia"/>
        <w:b/>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93D2182"/>
    <w:multiLevelType w:val="multilevel"/>
    <w:tmpl w:val="093D2182"/>
    <w:lvl w:ilvl="0" w:tentative="0">
      <w:start w:val="1"/>
      <w:numFmt w:val="decimal"/>
      <w:lvlText w:val="%1."/>
      <w:lvlJc w:val="left"/>
      <w:pPr>
        <w:ind w:left="840" w:hanging="420"/>
      </w:pPr>
      <w:rPr>
        <w:rFonts w:hint="eastAsia"/>
        <w:strike w:val="0"/>
        <w:color w:val="000000" w:themeColor="text1"/>
        <w14:textFill>
          <w14:solidFill>
            <w14:schemeClr w14:val="tx1"/>
          </w14:solidFill>
        </w14:textFill>
      </w:rPr>
    </w:lvl>
    <w:lvl w:ilvl="1" w:tentative="0">
      <w:start w:val="9"/>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A1D29FE"/>
    <w:multiLevelType w:val="multilevel"/>
    <w:tmpl w:val="0A1D29FE"/>
    <w:lvl w:ilvl="0" w:tentative="0">
      <w:start w:val="3"/>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13">
    <w:nsid w:val="0C8E6839"/>
    <w:multiLevelType w:val="multilevel"/>
    <w:tmpl w:val="0C8E6839"/>
    <w:lvl w:ilvl="0" w:tentative="0">
      <w:start w:val="1"/>
      <w:numFmt w:val="chineseCountingThousand"/>
      <w:lvlText w:val="(%1)"/>
      <w:lvlJc w:val="left"/>
      <w:pPr>
        <w:ind w:left="360" w:hanging="360"/>
      </w:pPr>
      <w:rPr>
        <w:rFonts w:hint="eastAsia"/>
        <w:i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FAF0398"/>
    <w:multiLevelType w:val="multilevel"/>
    <w:tmpl w:val="0FAF0398"/>
    <w:lvl w:ilvl="0" w:tentative="0">
      <w:start w:val="1"/>
      <w:numFmt w:val="decimal"/>
      <w:suff w:val="nothing"/>
      <w:lvlText w:val="%1."/>
      <w:lvlJc w:val="left"/>
      <w:pPr>
        <w:ind w:left="420" w:hanging="420"/>
      </w:pPr>
      <w:rPr>
        <w:rFonts w:hint="eastAsia"/>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3914F62"/>
    <w:multiLevelType w:val="multilevel"/>
    <w:tmpl w:val="13914F62"/>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6">
    <w:nsid w:val="198F3F03"/>
    <w:multiLevelType w:val="multilevel"/>
    <w:tmpl w:val="198F3F03"/>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default"/>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1DD22B5D"/>
    <w:multiLevelType w:val="multilevel"/>
    <w:tmpl w:val="1DD22B5D"/>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67A61ED"/>
    <w:multiLevelType w:val="multilevel"/>
    <w:tmpl w:val="267A61ED"/>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27A7686C"/>
    <w:multiLevelType w:val="multilevel"/>
    <w:tmpl w:val="27A7686C"/>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86D0CD4"/>
    <w:multiLevelType w:val="multilevel"/>
    <w:tmpl w:val="286D0CD4"/>
    <w:lvl w:ilvl="0" w:tentative="0">
      <w:start w:val="1"/>
      <w:numFmt w:val="decimalEnclosedCircle"/>
      <w:lvlText w:val="%1"/>
      <w:lvlJc w:val="left"/>
      <w:pPr>
        <w:ind w:left="126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A5E0B58"/>
    <w:multiLevelType w:val="multilevel"/>
    <w:tmpl w:val="2A5E0B58"/>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2C61436A"/>
    <w:multiLevelType w:val="multilevel"/>
    <w:tmpl w:val="2C61436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D23426E"/>
    <w:multiLevelType w:val="multilevel"/>
    <w:tmpl w:val="2D23426E"/>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24">
    <w:nsid w:val="31665BDD"/>
    <w:multiLevelType w:val="multilevel"/>
    <w:tmpl w:val="31665BDD"/>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25">
    <w:nsid w:val="350534A8"/>
    <w:multiLevelType w:val="multilevel"/>
    <w:tmpl w:val="350534A8"/>
    <w:lvl w:ilvl="0" w:tentative="0">
      <w:start w:val="1"/>
      <w:numFmt w:val="decimal"/>
      <w:lvlText w:val="%1."/>
      <w:lvlJc w:val="left"/>
      <w:pPr>
        <w:ind w:left="840" w:hanging="420"/>
      </w:pPr>
      <w:rPr>
        <w:rFonts w:hint="eastAsia" w:ascii="宋体" w:hAnsi="宋体" w:eastAsia="宋体"/>
      </w:rPr>
    </w:lvl>
    <w:lvl w:ilvl="1" w:tentative="0">
      <w:start w:val="1"/>
      <w:numFmt w:val="decimal"/>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57500A7"/>
    <w:multiLevelType w:val="multilevel"/>
    <w:tmpl w:val="357500A7"/>
    <w:lvl w:ilvl="0" w:tentative="0">
      <w:start w:val="1"/>
      <w:numFmt w:val="decimal"/>
      <w:lvlText w:val="（%1）"/>
      <w:lvlJc w:val="left"/>
      <w:pPr>
        <w:ind w:left="840" w:hanging="420"/>
      </w:pPr>
      <w:rPr>
        <w:rFonts w:hint="default" w:asciiTheme="minorEastAsia" w:hAnsiTheme="minorEastAsia" w:eastAsiaTheme="minorEastAsia"/>
        <w:b w:val="0"/>
      </w:rPr>
    </w:lvl>
    <w:lvl w:ilvl="1" w:tentative="0">
      <w:start w:val="1"/>
      <w:numFmt w:val="decimal"/>
      <w:lvlText w:val="%2)"/>
      <w:lvlJc w:val="left"/>
      <w:pPr>
        <w:ind w:left="420" w:hanging="420"/>
      </w:pPr>
      <w:rPr>
        <w:rFonts w:hint="default"/>
        <w:color w:val="auto"/>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6BA49F7"/>
    <w:multiLevelType w:val="multilevel"/>
    <w:tmpl w:val="36BA49F7"/>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29">
    <w:nsid w:val="396A4823"/>
    <w:multiLevelType w:val="multilevel"/>
    <w:tmpl w:val="396A4823"/>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39CCBA3D"/>
    <w:multiLevelType w:val="singleLevel"/>
    <w:tmpl w:val="39CCBA3D"/>
    <w:lvl w:ilvl="0" w:tentative="0">
      <w:start w:val="1"/>
      <w:numFmt w:val="decimal"/>
      <w:suff w:val="nothing"/>
      <w:lvlText w:val="%1"/>
      <w:lvlJc w:val="left"/>
      <w:pPr>
        <w:ind w:left="0" w:leftChars="0" w:firstLine="0" w:firstLineChars="0"/>
      </w:pPr>
      <w:rPr>
        <w:rFonts w:hint="default"/>
      </w:rPr>
    </w:lvl>
  </w:abstractNum>
  <w:abstractNum w:abstractNumId="31">
    <w:nsid w:val="39EA06C6"/>
    <w:multiLevelType w:val="multilevel"/>
    <w:tmpl w:val="39EA06C6"/>
    <w:lvl w:ilvl="0" w:tentative="0">
      <w:start w:val="1"/>
      <w:numFmt w:val="decimal"/>
      <w:lvlText w:val="%1."/>
      <w:lvlJc w:val="left"/>
      <w:pPr>
        <w:ind w:left="420" w:hanging="420"/>
      </w:pPr>
      <w:rPr>
        <w:rFonts w:hint="eastAsia" w:ascii="宋体" w:hAnsi="宋体" w:eastAsia="宋体"/>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D28715E"/>
    <w:multiLevelType w:val="multilevel"/>
    <w:tmpl w:val="3D28715E"/>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color w:val="auto"/>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3F3470F5"/>
    <w:multiLevelType w:val="multilevel"/>
    <w:tmpl w:val="3F3470F5"/>
    <w:lvl w:ilvl="0" w:tentative="0">
      <w:start w:val="1"/>
      <w:numFmt w:val="decimal"/>
      <w:lvlText w:val="（%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0843B8C"/>
    <w:multiLevelType w:val="multilevel"/>
    <w:tmpl w:val="40843B8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6">
    <w:nsid w:val="47FD6A98"/>
    <w:multiLevelType w:val="multilevel"/>
    <w:tmpl w:val="47FD6A98"/>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A265622"/>
    <w:multiLevelType w:val="multilevel"/>
    <w:tmpl w:val="4A265622"/>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AF56A99"/>
    <w:multiLevelType w:val="multilevel"/>
    <w:tmpl w:val="4AF56A9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4B6FC589"/>
    <w:multiLevelType w:val="singleLevel"/>
    <w:tmpl w:val="4B6FC589"/>
    <w:lvl w:ilvl="0" w:tentative="0">
      <w:start w:val="2"/>
      <w:numFmt w:val="decimal"/>
      <w:suff w:val="nothing"/>
      <w:lvlText w:val="（%1）"/>
      <w:lvlJc w:val="left"/>
    </w:lvl>
  </w:abstractNum>
  <w:abstractNum w:abstractNumId="41">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4C644CEE"/>
    <w:multiLevelType w:val="multilevel"/>
    <w:tmpl w:val="4C644CEE"/>
    <w:lvl w:ilvl="0" w:tentative="0">
      <w:start w:val="1"/>
      <w:numFmt w:val="decimalEnclosedCircle"/>
      <w:lvlText w:val="%1"/>
      <w:lvlJc w:val="left"/>
      <w:pPr>
        <w:ind w:left="126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30F27FF"/>
    <w:multiLevelType w:val="multilevel"/>
    <w:tmpl w:val="530F27FF"/>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sz w:val="24"/>
        <w:szCs w:val="24"/>
      </w:rPr>
    </w:lvl>
    <w:lvl w:ilvl="2" w:tentative="0">
      <w:start w:val="1"/>
      <w:numFmt w:val="decimal"/>
      <w:lvlText w:val="（%3)"/>
      <w:lvlJc w:val="left"/>
      <w:pPr>
        <w:tabs>
          <w:tab w:val="left" w:pos="567"/>
        </w:tabs>
        <w:ind w:left="567" w:hanging="567"/>
      </w:pPr>
      <w:rPr>
        <w:rFonts w:hint="eastAsia"/>
        <w:b w:val="0"/>
        <w:sz w:val="24"/>
        <w:szCs w:val="24"/>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55C77B3D"/>
    <w:multiLevelType w:val="multilevel"/>
    <w:tmpl w:val="55C77B3D"/>
    <w:lvl w:ilvl="0" w:tentative="0">
      <w:start w:val="1"/>
      <w:numFmt w:val="decimal"/>
      <w:lvlText w:val="（%1）"/>
      <w:lvlJc w:val="left"/>
      <w:pPr>
        <w:ind w:left="840" w:hanging="420"/>
      </w:pPr>
      <w:rPr>
        <w:rFonts w:hint="default"/>
      </w:rPr>
    </w:lvl>
    <w:lvl w:ilvl="1" w:tentative="0">
      <w:start w:val="1"/>
      <w:numFmt w:val="decimal"/>
      <w:lvlText w:val="%2)"/>
      <w:lvlJc w:val="left"/>
      <w:pPr>
        <w:ind w:left="420" w:hanging="420"/>
      </w:pPr>
      <w:rPr>
        <w:rFonts w:hint="default"/>
        <w:color w:val="auto"/>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8EB2386"/>
    <w:multiLevelType w:val="multilevel"/>
    <w:tmpl w:val="58EB2386"/>
    <w:lvl w:ilvl="0" w:tentative="0">
      <w:start w:val="1"/>
      <w:numFmt w:val="decimal"/>
      <w:lvlText w:val="%1、"/>
      <w:lvlJc w:val="right"/>
      <w:pPr>
        <w:tabs>
          <w:tab w:val="left" w:pos="1260"/>
        </w:tabs>
        <w:ind w:left="1260" w:hanging="420"/>
      </w:pPr>
    </w:lvl>
    <w:lvl w:ilvl="1" w:tentative="0">
      <w:start w:val="1"/>
      <w:numFmt w:val="decimal"/>
      <w:lvlText w:val="%2."/>
      <w:lvlJc w:val="left"/>
      <w:pPr>
        <w:tabs>
          <w:tab w:val="left" w:pos="1440"/>
        </w:tabs>
        <w:ind w:left="1440" w:hanging="360"/>
      </w:pPr>
    </w:lvl>
    <w:lvl w:ilvl="2" w:tentative="0">
      <w:start w:val="1"/>
      <w:numFmt w:val="decimal"/>
      <w:lvlText w:val="%3."/>
      <w:lvlJc w:val="center"/>
      <w:pPr>
        <w:tabs>
          <w:tab w:val="left" w:pos="851"/>
        </w:tabs>
        <w:ind w:left="972" w:hanging="132"/>
      </w:pPr>
      <w:rPr>
        <w:b w:val="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6">
    <w:nsid w:val="598458E2"/>
    <w:multiLevelType w:val="multilevel"/>
    <w:tmpl w:val="598458E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9EC7344"/>
    <w:multiLevelType w:val="multilevel"/>
    <w:tmpl w:val="59EC7344"/>
    <w:lvl w:ilvl="0" w:tentative="0">
      <w:start w:val="1"/>
      <w:numFmt w:val="decimal"/>
      <w:lvlText w:val="%1."/>
      <w:lvlJc w:val="left"/>
      <w:pPr>
        <w:ind w:left="420" w:hanging="420"/>
      </w:pPr>
      <w:rPr>
        <w:rFonts w:hint="eastAsia" w:ascii="宋体" w:hAnsi="宋体" w:eastAsia="宋体"/>
        <w:b w:val="0"/>
        <w:sz w:val="24"/>
        <w:szCs w:val="24"/>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48">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66B16FBA"/>
    <w:multiLevelType w:val="multilevel"/>
    <w:tmpl w:val="66B16FB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BF14F17"/>
    <w:multiLevelType w:val="multilevel"/>
    <w:tmpl w:val="6BF14F1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E0347BF"/>
    <w:multiLevelType w:val="multilevel"/>
    <w:tmpl w:val="6E0347BF"/>
    <w:lvl w:ilvl="0" w:tentative="0">
      <w:start w:val="1"/>
      <w:numFmt w:val="chineseCountingThousand"/>
      <w:lvlText w:val="(%1)"/>
      <w:lvlJc w:val="left"/>
      <w:pPr>
        <w:tabs>
          <w:tab w:val="left" w:pos="425"/>
        </w:tabs>
        <w:ind w:left="425" w:hanging="425"/>
      </w:pPr>
      <w:rPr>
        <w:rFonts w:hint="eastAsia"/>
        <w:strike w:val="0"/>
      </w:rPr>
    </w:lvl>
    <w:lvl w:ilvl="1" w:tentative="0">
      <w:start w:val="1"/>
      <w:numFmt w:val="decimal"/>
      <w:lvlText w:val="%2."/>
      <w:lvlJc w:val="left"/>
      <w:pPr>
        <w:tabs>
          <w:tab w:val="left" w:pos="567"/>
        </w:tabs>
        <w:ind w:left="567" w:hanging="567"/>
      </w:pPr>
      <w:rPr>
        <w:rFonts w:hint="eastAsia"/>
        <w:b w:val="0"/>
        <w:strike w:val="0"/>
        <w:dstrike w:val="0"/>
        <w:sz w:val="24"/>
        <w:szCs w:val="24"/>
      </w:rPr>
    </w:lvl>
    <w:lvl w:ilvl="2" w:tentative="0">
      <w:start w:val="1"/>
      <w:numFmt w:val="decimal"/>
      <w:lvlText w:val="（%3)"/>
      <w:lvlJc w:val="left"/>
      <w:pPr>
        <w:tabs>
          <w:tab w:val="left" w:pos="567"/>
        </w:tabs>
        <w:ind w:left="567" w:hanging="567"/>
      </w:pPr>
      <w:rPr>
        <w:rFonts w:hint="eastAsia"/>
        <w:b w:val="0"/>
        <w:sz w:val="21"/>
        <w:szCs w:val="21"/>
      </w:rPr>
    </w:lvl>
    <w:lvl w:ilvl="3" w:tentative="0">
      <w:start w:val="1"/>
      <w:numFmt w:val="decimal"/>
      <w:lvlText w:val="（%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2">
    <w:nsid w:val="6E6F60E5"/>
    <w:multiLevelType w:val="multilevel"/>
    <w:tmpl w:val="6E6F60E5"/>
    <w:lvl w:ilvl="0" w:tentative="0">
      <w:start w:val="1"/>
      <w:numFmt w:val="decimal"/>
      <w:pStyle w:val="134"/>
      <w:lvlText w:val="%1"/>
      <w:lvlJc w:val="left"/>
      <w:pPr>
        <w:ind w:left="0" w:firstLine="0"/>
      </w:pPr>
      <w:rPr>
        <w:rFonts w:hint="eastAsia"/>
      </w:rPr>
    </w:lvl>
    <w:lvl w:ilvl="1" w:tentative="0">
      <w:start w:val="2"/>
      <w:numFmt w:val="decimal"/>
      <w:pStyle w:val="135"/>
      <w:isLgl/>
      <w:lvlText w:val="%1.%2"/>
      <w:lvlJc w:val="left"/>
      <w:pPr>
        <w:ind w:left="0" w:firstLine="0"/>
      </w:pPr>
      <w:rPr>
        <w:rFonts w:hint="eastAsia"/>
      </w:rPr>
    </w:lvl>
    <w:lvl w:ilvl="2" w:tentative="0">
      <w:start w:val="2"/>
      <w:numFmt w:val="decimal"/>
      <w:pStyle w:val="136"/>
      <w:isLgl/>
      <w:lvlText w:val="%1.%2.%3"/>
      <w:lvlJc w:val="left"/>
      <w:pPr>
        <w:ind w:left="0" w:firstLine="0"/>
      </w:pPr>
      <w:rPr>
        <w:rFonts w:hint="eastAsia"/>
      </w:rPr>
    </w:lvl>
    <w:lvl w:ilvl="3" w:tentative="0">
      <w:start w:val="3"/>
      <w:numFmt w:val="decimal"/>
      <w:isLgl/>
      <w:lvlText w:val="%1.%2.%3.%4"/>
      <w:lvlJc w:val="left"/>
      <w:pPr>
        <w:ind w:left="0" w:firstLine="0"/>
      </w:pPr>
      <w:rPr>
        <w:rFonts w:hint="eastAsia"/>
      </w:rPr>
    </w:lvl>
    <w:lvl w:ilvl="4" w:tentative="0">
      <w:start w:val="0"/>
      <w:numFmt w:val="decimal"/>
      <w:pStyle w:val="137"/>
      <w:isLgl/>
      <w:lvlText w:val="%1.%2.%3.%4.%5"/>
      <w:lvlJc w:val="left"/>
      <w:pPr>
        <w:ind w:left="0" w:firstLine="0"/>
      </w:pPr>
      <w:rPr>
        <w:rFonts w:hint="eastAsia" w:eastAsia="宋体"/>
        <w:b/>
        <w:i w:val="0"/>
        <w:sz w:val="24"/>
      </w:rPr>
    </w:lvl>
    <w:lvl w:ilvl="5" w:tentative="0">
      <w:start w:val="1"/>
      <w:numFmt w:val="decimal"/>
      <w:pStyle w:val="138"/>
      <w:isLgl/>
      <w:lvlText w:val="%1.%2.%3.%4.%5.%6"/>
      <w:lvlJc w:val="left"/>
      <w:pPr>
        <w:ind w:left="0" w:firstLine="0"/>
      </w:pPr>
      <w:rPr>
        <w:rFonts w:hint="eastAsia" w:ascii="宋体" w:eastAsia="宋体"/>
        <w:b/>
        <w:i w:val="0"/>
        <w:sz w:val="24"/>
      </w:rPr>
    </w:lvl>
    <w:lvl w:ilvl="6" w:tentative="0">
      <w:start w:val="0"/>
      <w:numFmt w:val="decimal"/>
      <w:pStyle w:val="139"/>
      <w:lvlText w:val=""/>
      <w:lvlJc w:val="left"/>
      <w:pPr>
        <w:ind w:left="0" w:firstLine="0"/>
      </w:pPr>
      <w:rPr>
        <w:rFonts w:hint="eastAsia"/>
      </w:rPr>
    </w:lvl>
    <w:lvl w:ilvl="7" w:tentative="0">
      <w:start w:val="0"/>
      <w:numFmt w:val="decimal"/>
      <w:pStyle w:val="140"/>
      <w:lvlText w:val=""/>
      <w:lvlJc w:val="left"/>
      <w:pPr>
        <w:ind w:left="0" w:firstLine="0"/>
      </w:pPr>
      <w:rPr>
        <w:rFonts w:hint="eastAsia"/>
      </w:rPr>
    </w:lvl>
    <w:lvl w:ilvl="8" w:tentative="0">
      <w:start w:val="0"/>
      <w:numFmt w:val="decimal"/>
      <w:pStyle w:val="141"/>
      <w:lvlText w:val=""/>
      <w:lvlJc w:val="left"/>
      <w:pPr>
        <w:ind w:left="0" w:firstLine="0"/>
      </w:pPr>
      <w:rPr>
        <w:rFonts w:hint="eastAsia"/>
      </w:rPr>
    </w:lvl>
  </w:abstractNum>
  <w:abstractNum w:abstractNumId="53">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2"/>
  </w:num>
  <w:num w:numId="2">
    <w:abstractNumId w:val="9"/>
  </w:num>
  <w:num w:numId="3">
    <w:abstractNumId w:val="30"/>
  </w:num>
  <w:num w:numId="4">
    <w:abstractNumId w:val="4"/>
  </w:num>
  <w:num w:numId="5">
    <w:abstractNumId w:val="0"/>
  </w:num>
  <w:num w:numId="6">
    <w:abstractNumId w:val="45"/>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num>
  <w:num w:numId="8">
    <w:abstractNumId w:val="13"/>
  </w:num>
  <w:num w:numId="9">
    <w:abstractNumId w:val="48"/>
  </w:num>
  <w:num w:numId="10">
    <w:abstractNumId w:val="41"/>
  </w:num>
  <w:num w:numId="11">
    <w:abstractNumId w:val="8"/>
  </w:num>
  <w:num w:numId="12">
    <w:abstractNumId w:val="1"/>
  </w:num>
  <w:num w:numId="13">
    <w:abstractNumId w:val="3"/>
  </w:num>
  <w:num w:numId="14">
    <w:abstractNumId w:val="50"/>
  </w:num>
  <w:num w:numId="15">
    <w:abstractNumId w:val="38"/>
  </w:num>
  <w:num w:numId="16">
    <w:abstractNumId w:val="40"/>
  </w:num>
  <w:num w:numId="17">
    <w:abstractNumId w:val="2"/>
  </w:num>
  <w:num w:numId="18">
    <w:abstractNumId w:val="32"/>
  </w:num>
  <w:num w:numId="19">
    <w:abstractNumId w:val="27"/>
  </w:num>
  <w:num w:numId="20">
    <w:abstractNumId w:val="16"/>
  </w:num>
  <w:num w:numId="21">
    <w:abstractNumId w:val="29"/>
  </w:num>
  <w:num w:numId="22">
    <w:abstractNumId w:val="18"/>
  </w:num>
  <w:num w:numId="23">
    <w:abstractNumId w:val="51"/>
  </w:num>
  <w:num w:numId="24">
    <w:abstractNumId w:val="43"/>
  </w:num>
  <w:num w:numId="25">
    <w:abstractNumId w:val="7"/>
  </w:num>
  <w:num w:numId="26">
    <w:abstractNumId w:val="25"/>
  </w:num>
  <w:num w:numId="27">
    <w:abstractNumId w:val="33"/>
  </w:num>
  <w:num w:numId="28">
    <w:abstractNumId w:val="44"/>
  </w:num>
  <w:num w:numId="29">
    <w:abstractNumId w:val="36"/>
  </w:num>
  <w:num w:numId="30">
    <w:abstractNumId w:val="26"/>
  </w:num>
  <w:num w:numId="31">
    <w:abstractNumId w:val="19"/>
  </w:num>
  <w:num w:numId="32">
    <w:abstractNumId w:val="20"/>
  </w:num>
  <w:num w:numId="33">
    <w:abstractNumId w:val="42"/>
  </w:num>
  <w:num w:numId="34">
    <w:abstractNumId w:val="10"/>
  </w:num>
  <w:num w:numId="35">
    <w:abstractNumId w:val="11"/>
  </w:num>
  <w:num w:numId="36">
    <w:abstractNumId w:val="31"/>
  </w:num>
  <w:num w:numId="37">
    <w:abstractNumId w:val="21"/>
  </w:num>
  <w:num w:numId="38">
    <w:abstractNumId w:val="34"/>
  </w:num>
  <w:num w:numId="39">
    <w:abstractNumId w:val="17"/>
  </w:num>
  <w:num w:numId="40">
    <w:abstractNumId w:val="49"/>
  </w:num>
  <w:num w:numId="41">
    <w:abstractNumId w:val="14"/>
  </w:num>
  <w:num w:numId="42">
    <w:abstractNumId w:val="39"/>
  </w:num>
  <w:num w:numId="43">
    <w:abstractNumId w:val="47"/>
  </w:num>
  <w:num w:numId="44">
    <w:abstractNumId w:val="22"/>
  </w:num>
  <w:num w:numId="45">
    <w:abstractNumId w:val="28"/>
  </w:num>
  <w:num w:numId="46">
    <w:abstractNumId w:val="24"/>
  </w:num>
  <w:num w:numId="47">
    <w:abstractNumId w:val="23"/>
  </w:num>
  <w:num w:numId="48">
    <w:abstractNumId w:val="6"/>
  </w:num>
  <w:num w:numId="49">
    <w:abstractNumId w:val="5"/>
  </w:num>
  <w:num w:numId="50">
    <w:abstractNumId w:val="35"/>
  </w:num>
  <w:num w:numId="51">
    <w:abstractNumId w:val="15"/>
  </w:num>
  <w:num w:numId="52">
    <w:abstractNumId w:val="37"/>
  </w:num>
  <w:num w:numId="53">
    <w:abstractNumId w:val="53"/>
  </w:num>
  <w:num w:numId="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1"/>
  <w:bordersDoNotSurroundFooter w:val="1"/>
  <w:documentProtection w:enforcement="0"/>
  <w:defaultTabStop w:val="21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ZDUxM2ZiNmU2OGNkMzhhODhiZWUwY2RiN2IyYmEifQ=="/>
  </w:docVars>
  <w:rsids>
    <w:rsidRoot w:val="0092721E"/>
    <w:rsid w:val="00000AD1"/>
    <w:rsid w:val="00001700"/>
    <w:rsid w:val="00001E13"/>
    <w:rsid w:val="00002AC2"/>
    <w:rsid w:val="00002DDA"/>
    <w:rsid w:val="00002EB2"/>
    <w:rsid w:val="00002F3F"/>
    <w:rsid w:val="000036D2"/>
    <w:rsid w:val="00006253"/>
    <w:rsid w:val="000063B9"/>
    <w:rsid w:val="0000783A"/>
    <w:rsid w:val="00010219"/>
    <w:rsid w:val="000102E1"/>
    <w:rsid w:val="00010BD9"/>
    <w:rsid w:val="00011524"/>
    <w:rsid w:val="000125CC"/>
    <w:rsid w:val="000127B8"/>
    <w:rsid w:val="00012F12"/>
    <w:rsid w:val="00014537"/>
    <w:rsid w:val="00014CAB"/>
    <w:rsid w:val="00014ED1"/>
    <w:rsid w:val="00014FE5"/>
    <w:rsid w:val="00015160"/>
    <w:rsid w:val="00015701"/>
    <w:rsid w:val="00015E28"/>
    <w:rsid w:val="00016B46"/>
    <w:rsid w:val="00020619"/>
    <w:rsid w:val="00021301"/>
    <w:rsid w:val="0002140F"/>
    <w:rsid w:val="00021B31"/>
    <w:rsid w:val="00022687"/>
    <w:rsid w:val="00024AF4"/>
    <w:rsid w:val="0002510B"/>
    <w:rsid w:val="0002533E"/>
    <w:rsid w:val="00025495"/>
    <w:rsid w:val="00026703"/>
    <w:rsid w:val="00026C7E"/>
    <w:rsid w:val="00027156"/>
    <w:rsid w:val="0002786C"/>
    <w:rsid w:val="00027DF6"/>
    <w:rsid w:val="00030265"/>
    <w:rsid w:val="00031395"/>
    <w:rsid w:val="00033097"/>
    <w:rsid w:val="0003354A"/>
    <w:rsid w:val="000358D2"/>
    <w:rsid w:val="0003706F"/>
    <w:rsid w:val="00037154"/>
    <w:rsid w:val="0003727A"/>
    <w:rsid w:val="000408FE"/>
    <w:rsid w:val="0004107A"/>
    <w:rsid w:val="00041467"/>
    <w:rsid w:val="0004165B"/>
    <w:rsid w:val="00042228"/>
    <w:rsid w:val="00042776"/>
    <w:rsid w:val="00042B40"/>
    <w:rsid w:val="00042CF9"/>
    <w:rsid w:val="000432B2"/>
    <w:rsid w:val="000437EE"/>
    <w:rsid w:val="00043C94"/>
    <w:rsid w:val="00044233"/>
    <w:rsid w:val="00044B13"/>
    <w:rsid w:val="00045787"/>
    <w:rsid w:val="00046D8B"/>
    <w:rsid w:val="000470E3"/>
    <w:rsid w:val="00047C41"/>
    <w:rsid w:val="00047DD2"/>
    <w:rsid w:val="0005054D"/>
    <w:rsid w:val="0005175A"/>
    <w:rsid w:val="000517C7"/>
    <w:rsid w:val="00051B2A"/>
    <w:rsid w:val="00052F73"/>
    <w:rsid w:val="00053C27"/>
    <w:rsid w:val="00054202"/>
    <w:rsid w:val="0005480F"/>
    <w:rsid w:val="00055068"/>
    <w:rsid w:val="00055562"/>
    <w:rsid w:val="000560B1"/>
    <w:rsid w:val="000563E8"/>
    <w:rsid w:val="00056807"/>
    <w:rsid w:val="00056F22"/>
    <w:rsid w:val="00057120"/>
    <w:rsid w:val="0005719E"/>
    <w:rsid w:val="00057F0D"/>
    <w:rsid w:val="000608FC"/>
    <w:rsid w:val="00061A6B"/>
    <w:rsid w:val="00062141"/>
    <w:rsid w:val="000624EC"/>
    <w:rsid w:val="0006314C"/>
    <w:rsid w:val="000639E6"/>
    <w:rsid w:val="00063A84"/>
    <w:rsid w:val="00063D2C"/>
    <w:rsid w:val="000640EF"/>
    <w:rsid w:val="000643AF"/>
    <w:rsid w:val="00065B16"/>
    <w:rsid w:val="000667C3"/>
    <w:rsid w:val="00066989"/>
    <w:rsid w:val="0007035F"/>
    <w:rsid w:val="00070599"/>
    <w:rsid w:val="000716FC"/>
    <w:rsid w:val="00071E2E"/>
    <w:rsid w:val="0007226C"/>
    <w:rsid w:val="00072AC5"/>
    <w:rsid w:val="00072CBE"/>
    <w:rsid w:val="00073764"/>
    <w:rsid w:val="000744F8"/>
    <w:rsid w:val="000753EF"/>
    <w:rsid w:val="00075810"/>
    <w:rsid w:val="00077CB8"/>
    <w:rsid w:val="00077DEC"/>
    <w:rsid w:val="00080033"/>
    <w:rsid w:val="00080437"/>
    <w:rsid w:val="00080811"/>
    <w:rsid w:val="000808FD"/>
    <w:rsid w:val="00081210"/>
    <w:rsid w:val="00081422"/>
    <w:rsid w:val="000825BB"/>
    <w:rsid w:val="00083B4B"/>
    <w:rsid w:val="00083F9B"/>
    <w:rsid w:val="000841E8"/>
    <w:rsid w:val="00084BCA"/>
    <w:rsid w:val="00085AED"/>
    <w:rsid w:val="00085E00"/>
    <w:rsid w:val="000860F1"/>
    <w:rsid w:val="00086188"/>
    <w:rsid w:val="00086201"/>
    <w:rsid w:val="00086444"/>
    <w:rsid w:val="000864EA"/>
    <w:rsid w:val="0008669A"/>
    <w:rsid w:val="000870C0"/>
    <w:rsid w:val="000902F5"/>
    <w:rsid w:val="00090743"/>
    <w:rsid w:val="00090B4C"/>
    <w:rsid w:val="0009106B"/>
    <w:rsid w:val="0009174E"/>
    <w:rsid w:val="00091C48"/>
    <w:rsid w:val="000922CA"/>
    <w:rsid w:val="00092599"/>
    <w:rsid w:val="00094148"/>
    <w:rsid w:val="000949EA"/>
    <w:rsid w:val="00095259"/>
    <w:rsid w:val="000962C9"/>
    <w:rsid w:val="00096BE0"/>
    <w:rsid w:val="00096DF6"/>
    <w:rsid w:val="0009795D"/>
    <w:rsid w:val="00097ADB"/>
    <w:rsid w:val="000A2225"/>
    <w:rsid w:val="000A36D5"/>
    <w:rsid w:val="000A458C"/>
    <w:rsid w:val="000A5671"/>
    <w:rsid w:val="000A5A39"/>
    <w:rsid w:val="000A5E6C"/>
    <w:rsid w:val="000A6135"/>
    <w:rsid w:val="000A6639"/>
    <w:rsid w:val="000A6B0E"/>
    <w:rsid w:val="000A6DCA"/>
    <w:rsid w:val="000A6DE6"/>
    <w:rsid w:val="000A7023"/>
    <w:rsid w:val="000A7375"/>
    <w:rsid w:val="000A73A7"/>
    <w:rsid w:val="000A7D72"/>
    <w:rsid w:val="000A7EA3"/>
    <w:rsid w:val="000B03EA"/>
    <w:rsid w:val="000B090B"/>
    <w:rsid w:val="000B0A3F"/>
    <w:rsid w:val="000B14EF"/>
    <w:rsid w:val="000B18B5"/>
    <w:rsid w:val="000B2403"/>
    <w:rsid w:val="000B2EDA"/>
    <w:rsid w:val="000B3D27"/>
    <w:rsid w:val="000B4393"/>
    <w:rsid w:val="000B49C9"/>
    <w:rsid w:val="000B593C"/>
    <w:rsid w:val="000B6B49"/>
    <w:rsid w:val="000B6C51"/>
    <w:rsid w:val="000B750C"/>
    <w:rsid w:val="000C1577"/>
    <w:rsid w:val="000C1964"/>
    <w:rsid w:val="000C24EB"/>
    <w:rsid w:val="000C3C6A"/>
    <w:rsid w:val="000C414D"/>
    <w:rsid w:val="000C4802"/>
    <w:rsid w:val="000C4C41"/>
    <w:rsid w:val="000C5139"/>
    <w:rsid w:val="000C5DA9"/>
    <w:rsid w:val="000C5FBD"/>
    <w:rsid w:val="000C6345"/>
    <w:rsid w:val="000C6BEE"/>
    <w:rsid w:val="000D0061"/>
    <w:rsid w:val="000D0D95"/>
    <w:rsid w:val="000D0EC5"/>
    <w:rsid w:val="000D0FC8"/>
    <w:rsid w:val="000D0FD6"/>
    <w:rsid w:val="000D161C"/>
    <w:rsid w:val="000D284F"/>
    <w:rsid w:val="000D32D1"/>
    <w:rsid w:val="000D3926"/>
    <w:rsid w:val="000D4CCE"/>
    <w:rsid w:val="000D4DC8"/>
    <w:rsid w:val="000D56F8"/>
    <w:rsid w:val="000D5839"/>
    <w:rsid w:val="000D6897"/>
    <w:rsid w:val="000E11BD"/>
    <w:rsid w:val="000E15E7"/>
    <w:rsid w:val="000E171F"/>
    <w:rsid w:val="000E1F04"/>
    <w:rsid w:val="000E2993"/>
    <w:rsid w:val="000E2D39"/>
    <w:rsid w:val="000E3259"/>
    <w:rsid w:val="000E35B4"/>
    <w:rsid w:val="000E3DB8"/>
    <w:rsid w:val="000E42BB"/>
    <w:rsid w:val="000E511A"/>
    <w:rsid w:val="000E5E35"/>
    <w:rsid w:val="000E69D6"/>
    <w:rsid w:val="000E7356"/>
    <w:rsid w:val="000E735D"/>
    <w:rsid w:val="000E74CB"/>
    <w:rsid w:val="000E7610"/>
    <w:rsid w:val="000E7D0F"/>
    <w:rsid w:val="000F018F"/>
    <w:rsid w:val="000F02AD"/>
    <w:rsid w:val="000F0687"/>
    <w:rsid w:val="000F1B29"/>
    <w:rsid w:val="000F1F1D"/>
    <w:rsid w:val="000F2249"/>
    <w:rsid w:val="000F2F00"/>
    <w:rsid w:val="000F425B"/>
    <w:rsid w:val="000F4855"/>
    <w:rsid w:val="000F56AD"/>
    <w:rsid w:val="000F5A4E"/>
    <w:rsid w:val="000F5D87"/>
    <w:rsid w:val="000F654C"/>
    <w:rsid w:val="000F678B"/>
    <w:rsid w:val="000F6C07"/>
    <w:rsid w:val="000F7245"/>
    <w:rsid w:val="000F755F"/>
    <w:rsid w:val="000F7EE4"/>
    <w:rsid w:val="001014E7"/>
    <w:rsid w:val="001015B6"/>
    <w:rsid w:val="00102296"/>
    <w:rsid w:val="0010245B"/>
    <w:rsid w:val="00102A59"/>
    <w:rsid w:val="00103B70"/>
    <w:rsid w:val="001040DC"/>
    <w:rsid w:val="0010433C"/>
    <w:rsid w:val="00104A89"/>
    <w:rsid w:val="0010507D"/>
    <w:rsid w:val="00105F2B"/>
    <w:rsid w:val="0010648E"/>
    <w:rsid w:val="001064CF"/>
    <w:rsid w:val="001066F5"/>
    <w:rsid w:val="00106C14"/>
    <w:rsid w:val="00107E28"/>
    <w:rsid w:val="001101AB"/>
    <w:rsid w:val="00110576"/>
    <w:rsid w:val="00111F67"/>
    <w:rsid w:val="00111F6B"/>
    <w:rsid w:val="001121F9"/>
    <w:rsid w:val="00113228"/>
    <w:rsid w:val="00113C29"/>
    <w:rsid w:val="00114D0E"/>
    <w:rsid w:val="00115409"/>
    <w:rsid w:val="001170BA"/>
    <w:rsid w:val="001175BA"/>
    <w:rsid w:val="001177C7"/>
    <w:rsid w:val="00117E66"/>
    <w:rsid w:val="00120261"/>
    <w:rsid w:val="001207D5"/>
    <w:rsid w:val="00120B88"/>
    <w:rsid w:val="0012114F"/>
    <w:rsid w:val="00121368"/>
    <w:rsid w:val="0012244E"/>
    <w:rsid w:val="0012262F"/>
    <w:rsid w:val="001228F8"/>
    <w:rsid w:val="00122B16"/>
    <w:rsid w:val="00123065"/>
    <w:rsid w:val="001248D8"/>
    <w:rsid w:val="00124E4B"/>
    <w:rsid w:val="00125307"/>
    <w:rsid w:val="00125D38"/>
    <w:rsid w:val="00125DB5"/>
    <w:rsid w:val="001264E7"/>
    <w:rsid w:val="0012708E"/>
    <w:rsid w:val="0012713F"/>
    <w:rsid w:val="00127DE2"/>
    <w:rsid w:val="0013172A"/>
    <w:rsid w:val="00131A3D"/>
    <w:rsid w:val="00131C37"/>
    <w:rsid w:val="00131F63"/>
    <w:rsid w:val="0013238D"/>
    <w:rsid w:val="00132E82"/>
    <w:rsid w:val="00133165"/>
    <w:rsid w:val="00133659"/>
    <w:rsid w:val="001340D0"/>
    <w:rsid w:val="001346DE"/>
    <w:rsid w:val="0013496E"/>
    <w:rsid w:val="00135D41"/>
    <w:rsid w:val="001362D8"/>
    <w:rsid w:val="0013792D"/>
    <w:rsid w:val="0014073C"/>
    <w:rsid w:val="001408BB"/>
    <w:rsid w:val="00140C8C"/>
    <w:rsid w:val="00140E82"/>
    <w:rsid w:val="00141E72"/>
    <w:rsid w:val="001423D2"/>
    <w:rsid w:val="00142487"/>
    <w:rsid w:val="00143294"/>
    <w:rsid w:val="001434A5"/>
    <w:rsid w:val="00143653"/>
    <w:rsid w:val="00144E50"/>
    <w:rsid w:val="00150E1A"/>
    <w:rsid w:val="00150F21"/>
    <w:rsid w:val="00152408"/>
    <w:rsid w:val="001525CE"/>
    <w:rsid w:val="00153301"/>
    <w:rsid w:val="001537B6"/>
    <w:rsid w:val="00153B9E"/>
    <w:rsid w:val="00154745"/>
    <w:rsid w:val="00154E66"/>
    <w:rsid w:val="00155CDD"/>
    <w:rsid w:val="001560D9"/>
    <w:rsid w:val="0015649D"/>
    <w:rsid w:val="0015670F"/>
    <w:rsid w:val="00156796"/>
    <w:rsid w:val="001568D1"/>
    <w:rsid w:val="00156E42"/>
    <w:rsid w:val="00157803"/>
    <w:rsid w:val="00157AF3"/>
    <w:rsid w:val="00160379"/>
    <w:rsid w:val="00162F5B"/>
    <w:rsid w:val="001632B3"/>
    <w:rsid w:val="001637D4"/>
    <w:rsid w:val="00163C81"/>
    <w:rsid w:val="00163EE2"/>
    <w:rsid w:val="00163F3B"/>
    <w:rsid w:val="001646E1"/>
    <w:rsid w:val="001650A0"/>
    <w:rsid w:val="001654F7"/>
    <w:rsid w:val="00165B28"/>
    <w:rsid w:val="00165D0F"/>
    <w:rsid w:val="00165D6A"/>
    <w:rsid w:val="0016684C"/>
    <w:rsid w:val="001671D3"/>
    <w:rsid w:val="00167206"/>
    <w:rsid w:val="00167B4A"/>
    <w:rsid w:val="00167C48"/>
    <w:rsid w:val="0017006D"/>
    <w:rsid w:val="00170D22"/>
    <w:rsid w:val="00171D72"/>
    <w:rsid w:val="00172213"/>
    <w:rsid w:val="00172F6C"/>
    <w:rsid w:val="00173A0E"/>
    <w:rsid w:val="0017564B"/>
    <w:rsid w:val="00175ACF"/>
    <w:rsid w:val="00180948"/>
    <w:rsid w:val="00180FFD"/>
    <w:rsid w:val="00181061"/>
    <w:rsid w:val="00182877"/>
    <w:rsid w:val="001836B6"/>
    <w:rsid w:val="00183CE3"/>
    <w:rsid w:val="00184156"/>
    <w:rsid w:val="00186C6A"/>
    <w:rsid w:val="0019030F"/>
    <w:rsid w:val="001909F4"/>
    <w:rsid w:val="00190B48"/>
    <w:rsid w:val="00191023"/>
    <w:rsid w:val="001918C9"/>
    <w:rsid w:val="001932C7"/>
    <w:rsid w:val="001944A9"/>
    <w:rsid w:val="00194ABE"/>
    <w:rsid w:val="00194D3F"/>
    <w:rsid w:val="00195CA6"/>
    <w:rsid w:val="00195DF5"/>
    <w:rsid w:val="0019614A"/>
    <w:rsid w:val="001962BE"/>
    <w:rsid w:val="001962FE"/>
    <w:rsid w:val="00196300"/>
    <w:rsid w:val="001966B7"/>
    <w:rsid w:val="00196768"/>
    <w:rsid w:val="001A04B3"/>
    <w:rsid w:val="001A0525"/>
    <w:rsid w:val="001A1083"/>
    <w:rsid w:val="001A1363"/>
    <w:rsid w:val="001A1675"/>
    <w:rsid w:val="001A16E8"/>
    <w:rsid w:val="001A16FB"/>
    <w:rsid w:val="001A185F"/>
    <w:rsid w:val="001A1DD8"/>
    <w:rsid w:val="001A2CB3"/>
    <w:rsid w:val="001A3760"/>
    <w:rsid w:val="001A580A"/>
    <w:rsid w:val="001A611C"/>
    <w:rsid w:val="001A616C"/>
    <w:rsid w:val="001A6511"/>
    <w:rsid w:val="001A6C17"/>
    <w:rsid w:val="001A759A"/>
    <w:rsid w:val="001A7733"/>
    <w:rsid w:val="001A7C1E"/>
    <w:rsid w:val="001A7EE5"/>
    <w:rsid w:val="001B047E"/>
    <w:rsid w:val="001B04E1"/>
    <w:rsid w:val="001B0E95"/>
    <w:rsid w:val="001B0FE1"/>
    <w:rsid w:val="001B127F"/>
    <w:rsid w:val="001B148E"/>
    <w:rsid w:val="001B2082"/>
    <w:rsid w:val="001B2619"/>
    <w:rsid w:val="001B3A69"/>
    <w:rsid w:val="001B4169"/>
    <w:rsid w:val="001B4C3B"/>
    <w:rsid w:val="001B4D4E"/>
    <w:rsid w:val="001B4E91"/>
    <w:rsid w:val="001B4EF0"/>
    <w:rsid w:val="001B5D8F"/>
    <w:rsid w:val="001B5E1E"/>
    <w:rsid w:val="001B60F2"/>
    <w:rsid w:val="001B6347"/>
    <w:rsid w:val="001B6492"/>
    <w:rsid w:val="001B68E0"/>
    <w:rsid w:val="001B6918"/>
    <w:rsid w:val="001B6E94"/>
    <w:rsid w:val="001B7513"/>
    <w:rsid w:val="001C0972"/>
    <w:rsid w:val="001C1393"/>
    <w:rsid w:val="001C28BC"/>
    <w:rsid w:val="001C301E"/>
    <w:rsid w:val="001C3B02"/>
    <w:rsid w:val="001C3EF9"/>
    <w:rsid w:val="001C4479"/>
    <w:rsid w:val="001C510A"/>
    <w:rsid w:val="001C5BBC"/>
    <w:rsid w:val="001C5C19"/>
    <w:rsid w:val="001C6414"/>
    <w:rsid w:val="001C69B0"/>
    <w:rsid w:val="001C7E82"/>
    <w:rsid w:val="001D016B"/>
    <w:rsid w:val="001D01D4"/>
    <w:rsid w:val="001D0AA3"/>
    <w:rsid w:val="001D17E8"/>
    <w:rsid w:val="001D1DCB"/>
    <w:rsid w:val="001D2272"/>
    <w:rsid w:val="001D23C7"/>
    <w:rsid w:val="001D2678"/>
    <w:rsid w:val="001D2732"/>
    <w:rsid w:val="001D29E6"/>
    <w:rsid w:val="001D3002"/>
    <w:rsid w:val="001D4040"/>
    <w:rsid w:val="001D438B"/>
    <w:rsid w:val="001D5BF9"/>
    <w:rsid w:val="001D672C"/>
    <w:rsid w:val="001D6AE5"/>
    <w:rsid w:val="001E00E8"/>
    <w:rsid w:val="001E1909"/>
    <w:rsid w:val="001E1C69"/>
    <w:rsid w:val="001E201C"/>
    <w:rsid w:val="001E265C"/>
    <w:rsid w:val="001E2A2E"/>
    <w:rsid w:val="001E3BA2"/>
    <w:rsid w:val="001E3BEA"/>
    <w:rsid w:val="001E3F6E"/>
    <w:rsid w:val="001E442D"/>
    <w:rsid w:val="001E4AC1"/>
    <w:rsid w:val="001E5601"/>
    <w:rsid w:val="001E5677"/>
    <w:rsid w:val="001E5BF2"/>
    <w:rsid w:val="001E610A"/>
    <w:rsid w:val="001E6AAA"/>
    <w:rsid w:val="001E7793"/>
    <w:rsid w:val="001F00F1"/>
    <w:rsid w:val="001F0EFC"/>
    <w:rsid w:val="001F12B8"/>
    <w:rsid w:val="001F1D05"/>
    <w:rsid w:val="001F1F84"/>
    <w:rsid w:val="001F2158"/>
    <w:rsid w:val="001F27B6"/>
    <w:rsid w:val="001F29C9"/>
    <w:rsid w:val="001F29CC"/>
    <w:rsid w:val="001F2C42"/>
    <w:rsid w:val="001F2FE6"/>
    <w:rsid w:val="001F3563"/>
    <w:rsid w:val="001F3AFD"/>
    <w:rsid w:val="001F448C"/>
    <w:rsid w:val="001F45B8"/>
    <w:rsid w:val="001F5382"/>
    <w:rsid w:val="001F5705"/>
    <w:rsid w:val="001F60BA"/>
    <w:rsid w:val="001F723B"/>
    <w:rsid w:val="001F7923"/>
    <w:rsid w:val="002006E1"/>
    <w:rsid w:val="00200A85"/>
    <w:rsid w:val="002010B1"/>
    <w:rsid w:val="0020197C"/>
    <w:rsid w:val="00201D27"/>
    <w:rsid w:val="00202E65"/>
    <w:rsid w:val="002030CC"/>
    <w:rsid w:val="00204383"/>
    <w:rsid w:val="00204F6C"/>
    <w:rsid w:val="002050AC"/>
    <w:rsid w:val="0020562F"/>
    <w:rsid w:val="00205E6A"/>
    <w:rsid w:val="002061F6"/>
    <w:rsid w:val="00206A3C"/>
    <w:rsid w:val="00210332"/>
    <w:rsid w:val="00211293"/>
    <w:rsid w:val="00212191"/>
    <w:rsid w:val="00212D60"/>
    <w:rsid w:val="00212EAC"/>
    <w:rsid w:val="00212F40"/>
    <w:rsid w:val="00213AA2"/>
    <w:rsid w:val="00213CAA"/>
    <w:rsid w:val="002144CE"/>
    <w:rsid w:val="00214A86"/>
    <w:rsid w:val="00214B4B"/>
    <w:rsid w:val="0021575E"/>
    <w:rsid w:val="002168C1"/>
    <w:rsid w:val="00216C00"/>
    <w:rsid w:val="00216F05"/>
    <w:rsid w:val="00216FE4"/>
    <w:rsid w:val="00217995"/>
    <w:rsid w:val="00220D0A"/>
    <w:rsid w:val="00220E81"/>
    <w:rsid w:val="00221259"/>
    <w:rsid w:val="00221AF3"/>
    <w:rsid w:val="00222142"/>
    <w:rsid w:val="00222C5C"/>
    <w:rsid w:val="00223671"/>
    <w:rsid w:val="0022377B"/>
    <w:rsid w:val="0022385F"/>
    <w:rsid w:val="00223B2F"/>
    <w:rsid w:val="002248E8"/>
    <w:rsid w:val="00224A08"/>
    <w:rsid w:val="00224BC8"/>
    <w:rsid w:val="00224EAD"/>
    <w:rsid w:val="002274EB"/>
    <w:rsid w:val="00227C3B"/>
    <w:rsid w:val="002323C3"/>
    <w:rsid w:val="00234822"/>
    <w:rsid w:val="00235033"/>
    <w:rsid w:val="0023520A"/>
    <w:rsid w:val="0023558A"/>
    <w:rsid w:val="00235DF9"/>
    <w:rsid w:val="002361EA"/>
    <w:rsid w:val="00236502"/>
    <w:rsid w:val="002369B8"/>
    <w:rsid w:val="00236E75"/>
    <w:rsid w:val="00240703"/>
    <w:rsid w:val="00240A0F"/>
    <w:rsid w:val="00241A10"/>
    <w:rsid w:val="00242ACB"/>
    <w:rsid w:val="002434DD"/>
    <w:rsid w:val="002440DC"/>
    <w:rsid w:val="00244536"/>
    <w:rsid w:val="00245D64"/>
    <w:rsid w:val="00246EF0"/>
    <w:rsid w:val="00247435"/>
    <w:rsid w:val="00247EE9"/>
    <w:rsid w:val="002501A1"/>
    <w:rsid w:val="002501B4"/>
    <w:rsid w:val="00251E25"/>
    <w:rsid w:val="0025208A"/>
    <w:rsid w:val="00252759"/>
    <w:rsid w:val="00252915"/>
    <w:rsid w:val="00253493"/>
    <w:rsid w:val="002536D8"/>
    <w:rsid w:val="00254D73"/>
    <w:rsid w:val="002552AB"/>
    <w:rsid w:val="002558EC"/>
    <w:rsid w:val="00255BD0"/>
    <w:rsid w:val="0025664A"/>
    <w:rsid w:val="00256E16"/>
    <w:rsid w:val="00257173"/>
    <w:rsid w:val="00257C39"/>
    <w:rsid w:val="0026039F"/>
    <w:rsid w:val="00260588"/>
    <w:rsid w:val="002609A1"/>
    <w:rsid w:val="002615ED"/>
    <w:rsid w:val="00262D8B"/>
    <w:rsid w:val="002631AB"/>
    <w:rsid w:val="002640A6"/>
    <w:rsid w:val="00264597"/>
    <w:rsid w:val="00264BAA"/>
    <w:rsid w:val="00264C06"/>
    <w:rsid w:val="0026642C"/>
    <w:rsid w:val="00270269"/>
    <w:rsid w:val="002704F2"/>
    <w:rsid w:val="00271768"/>
    <w:rsid w:val="00272BF6"/>
    <w:rsid w:val="00272E66"/>
    <w:rsid w:val="0027428C"/>
    <w:rsid w:val="00274D35"/>
    <w:rsid w:val="002754CC"/>
    <w:rsid w:val="00275E64"/>
    <w:rsid w:val="0027647C"/>
    <w:rsid w:val="002765BC"/>
    <w:rsid w:val="00276D7F"/>
    <w:rsid w:val="00277E51"/>
    <w:rsid w:val="00280001"/>
    <w:rsid w:val="002804D6"/>
    <w:rsid w:val="00282592"/>
    <w:rsid w:val="0028260A"/>
    <w:rsid w:val="00282EA0"/>
    <w:rsid w:val="0028361C"/>
    <w:rsid w:val="0028367E"/>
    <w:rsid w:val="0028405F"/>
    <w:rsid w:val="002841E9"/>
    <w:rsid w:val="0028452A"/>
    <w:rsid w:val="00284602"/>
    <w:rsid w:val="00284DAE"/>
    <w:rsid w:val="00286614"/>
    <w:rsid w:val="00286A79"/>
    <w:rsid w:val="00287447"/>
    <w:rsid w:val="00290091"/>
    <w:rsid w:val="0029015C"/>
    <w:rsid w:val="002907A9"/>
    <w:rsid w:val="002915AA"/>
    <w:rsid w:val="00292487"/>
    <w:rsid w:val="002927D4"/>
    <w:rsid w:val="00293367"/>
    <w:rsid w:val="00293EFB"/>
    <w:rsid w:val="00294B95"/>
    <w:rsid w:val="00294C65"/>
    <w:rsid w:val="00294F7C"/>
    <w:rsid w:val="00296601"/>
    <w:rsid w:val="00296F34"/>
    <w:rsid w:val="00297BDD"/>
    <w:rsid w:val="002A00A4"/>
    <w:rsid w:val="002A286B"/>
    <w:rsid w:val="002A2DB3"/>
    <w:rsid w:val="002A380E"/>
    <w:rsid w:val="002A3A4A"/>
    <w:rsid w:val="002A4817"/>
    <w:rsid w:val="002A4CA3"/>
    <w:rsid w:val="002A4CAE"/>
    <w:rsid w:val="002A50E2"/>
    <w:rsid w:val="002A5397"/>
    <w:rsid w:val="002A69CE"/>
    <w:rsid w:val="002A6AC9"/>
    <w:rsid w:val="002A72E8"/>
    <w:rsid w:val="002A734B"/>
    <w:rsid w:val="002A74EC"/>
    <w:rsid w:val="002A7D01"/>
    <w:rsid w:val="002B11F6"/>
    <w:rsid w:val="002B13A4"/>
    <w:rsid w:val="002B1B9D"/>
    <w:rsid w:val="002B289C"/>
    <w:rsid w:val="002B3354"/>
    <w:rsid w:val="002B35E9"/>
    <w:rsid w:val="002B37EA"/>
    <w:rsid w:val="002B432E"/>
    <w:rsid w:val="002B4BB5"/>
    <w:rsid w:val="002B533B"/>
    <w:rsid w:val="002B60E5"/>
    <w:rsid w:val="002B62C3"/>
    <w:rsid w:val="002B6AC6"/>
    <w:rsid w:val="002B6CDB"/>
    <w:rsid w:val="002B7200"/>
    <w:rsid w:val="002B7916"/>
    <w:rsid w:val="002C008C"/>
    <w:rsid w:val="002C0B0E"/>
    <w:rsid w:val="002C1F78"/>
    <w:rsid w:val="002C2877"/>
    <w:rsid w:val="002C3347"/>
    <w:rsid w:val="002C4830"/>
    <w:rsid w:val="002C48D2"/>
    <w:rsid w:val="002C4C2E"/>
    <w:rsid w:val="002C4E0D"/>
    <w:rsid w:val="002C4F5A"/>
    <w:rsid w:val="002C528E"/>
    <w:rsid w:val="002C5976"/>
    <w:rsid w:val="002C639C"/>
    <w:rsid w:val="002C71AF"/>
    <w:rsid w:val="002C769D"/>
    <w:rsid w:val="002C7902"/>
    <w:rsid w:val="002C7E3D"/>
    <w:rsid w:val="002D0172"/>
    <w:rsid w:val="002D030E"/>
    <w:rsid w:val="002D07FB"/>
    <w:rsid w:val="002D1179"/>
    <w:rsid w:val="002D1788"/>
    <w:rsid w:val="002D1DF7"/>
    <w:rsid w:val="002D4667"/>
    <w:rsid w:val="002D4950"/>
    <w:rsid w:val="002D4C16"/>
    <w:rsid w:val="002D5347"/>
    <w:rsid w:val="002D59CA"/>
    <w:rsid w:val="002D63D3"/>
    <w:rsid w:val="002D6847"/>
    <w:rsid w:val="002E19D3"/>
    <w:rsid w:val="002E1FE6"/>
    <w:rsid w:val="002E21C0"/>
    <w:rsid w:val="002E22BC"/>
    <w:rsid w:val="002E29C5"/>
    <w:rsid w:val="002E33EA"/>
    <w:rsid w:val="002E44E2"/>
    <w:rsid w:val="002E4BA5"/>
    <w:rsid w:val="002E5333"/>
    <w:rsid w:val="002E5BC6"/>
    <w:rsid w:val="002E5D81"/>
    <w:rsid w:val="002E626F"/>
    <w:rsid w:val="002E6315"/>
    <w:rsid w:val="002E720B"/>
    <w:rsid w:val="002E7B9E"/>
    <w:rsid w:val="002E7E44"/>
    <w:rsid w:val="002F00D8"/>
    <w:rsid w:val="002F1546"/>
    <w:rsid w:val="002F1E32"/>
    <w:rsid w:val="002F20C1"/>
    <w:rsid w:val="002F22F8"/>
    <w:rsid w:val="002F2CE1"/>
    <w:rsid w:val="002F3741"/>
    <w:rsid w:val="002F3A6B"/>
    <w:rsid w:val="002F40FB"/>
    <w:rsid w:val="002F4349"/>
    <w:rsid w:val="002F5273"/>
    <w:rsid w:val="002F565F"/>
    <w:rsid w:val="002F5C3E"/>
    <w:rsid w:val="002F5CC8"/>
    <w:rsid w:val="002F6132"/>
    <w:rsid w:val="002F631B"/>
    <w:rsid w:val="002F65D7"/>
    <w:rsid w:val="002F6822"/>
    <w:rsid w:val="002F7647"/>
    <w:rsid w:val="002F79B3"/>
    <w:rsid w:val="002F7DFA"/>
    <w:rsid w:val="003004AE"/>
    <w:rsid w:val="00300636"/>
    <w:rsid w:val="00301581"/>
    <w:rsid w:val="00301A6E"/>
    <w:rsid w:val="00301EFB"/>
    <w:rsid w:val="0030581A"/>
    <w:rsid w:val="003064D2"/>
    <w:rsid w:val="00306918"/>
    <w:rsid w:val="003074A3"/>
    <w:rsid w:val="00307B70"/>
    <w:rsid w:val="00307F36"/>
    <w:rsid w:val="0031035E"/>
    <w:rsid w:val="0031141F"/>
    <w:rsid w:val="00311860"/>
    <w:rsid w:val="003118F1"/>
    <w:rsid w:val="00311BFC"/>
    <w:rsid w:val="00312181"/>
    <w:rsid w:val="003130C4"/>
    <w:rsid w:val="00313C65"/>
    <w:rsid w:val="00313EB1"/>
    <w:rsid w:val="00313FD2"/>
    <w:rsid w:val="003140C1"/>
    <w:rsid w:val="00314FC4"/>
    <w:rsid w:val="00315617"/>
    <w:rsid w:val="003159FF"/>
    <w:rsid w:val="00316CAB"/>
    <w:rsid w:val="00317367"/>
    <w:rsid w:val="00320532"/>
    <w:rsid w:val="00320690"/>
    <w:rsid w:val="0032083C"/>
    <w:rsid w:val="0032124B"/>
    <w:rsid w:val="00322064"/>
    <w:rsid w:val="00322C6E"/>
    <w:rsid w:val="00323DCA"/>
    <w:rsid w:val="00324B55"/>
    <w:rsid w:val="0032542C"/>
    <w:rsid w:val="003260EE"/>
    <w:rsid w:val="003267EA"/>
    <w:rsid w:val="00327D26"/>
    <w:rsid w:val="0033023A"/>
    <w:rsid w:val="003309A7"/>
    <w:rsid w:val="00330FDE"/>
    <w:rsid w:val="0033107B"/>
    <w:rsid w:val="0033130B"/>
    <w:rsid w:val="00331E86"/>
    <w:rsid w:val="00332046"/>
    <w:rsid w:val="00332E5C"/>
    <w:rsid w:val="0033452D"/>
    <w:rsid w:val="003362BF"/>
    <w:rsid w:val="003366EA"/>
    <w:rsid w:val="0033678A"/>
    <w:rsid w:val="00340BEE"/>
    <w:rsid w:val="00340C08"/>
    <w:rsid w:val="00340CC5"/>
    <w:rsid w:val="003412A8"/>
    <w:rsid w:val="003415E6"/>
    <w:rsid w:val="00341753"/>
    <w:rsid w:val="00341D25"/>
    <w:rsid w:val="00341D63"/>
    <w:rsid w:val="00342612"/>
    <w:rsid w:val="00342CA5"/>
    <w:rsid w:val="00342DB9"/>
    <w:rsid w:val="0034325A"/>
    <w:rsid w:val="0034348C"/>
    <w:rsid w:val="00344328"/>
    <w:rsid w:val="0034682F"/>
    <w:rsid w:val="003505DC"/>
    <w:rsid w:val="00350BCF"/>
    <w:rsid w:val="00351B8D"/>
    <w:rsid w:val="0035257D"/>
    <w:rsid w:val="003529CD"/>
    <w:rsid w:val="00352FD5"/>
    <w:rsid w:val="00355129"/>
    <w:rsid w:val="003556B3"/>
    <w:rsid w:val="00355C52"/>
    <w:rsid w:val="00355F47"/>
    <w:rsid w:val="00355FDE"/>
    <w:rsid w:val="0035630D"/>
    <w:rsid w:val="0035665E"/>
    <w:rsid w:val="0036082F"/>
    <w:rsid w:val="003608DA"/>
    <w:rsid w:val="00360AF6"/>
    <w:rsid w:val="003616FE"/>
    <w:rsid w:val="00361D40"/>
    <w:rsid w:val="00361FC4"/>
    <w:rsid w:val="00362593"/>
    <w:rsid w:val="003627CB"/>
    <w:rsid w:val="00362B20"/>
    <w:rsid w:val="0036344E"/>
    <w:rsid w:val="0036385E"/>
    <w:rsid w:val="003639E6"/>
    <w:rsid w:val="00363A47"/>
    <w:rsid w:val="00363AD7"/>
    <w:rsid w:val="00364770"/>
    <w:rsid w:val="00364A7B"/>
    <w:rsid w:val="003659B8"/>
    <w:rsid w:val="00365CFE"/>
    <w:rsid w:val="003662A4"/>
    <w:rsid w:val="00366470"/>
    <w:rsid w:val="00366F3F"/>
    <w:rsid w:val="00366FF4"/>
    <w:rsid w:val="00367F19"/>
    <w:rsid w:val="003704AF"/>
    <w:rsid w:val="00370782"/>
    <w:rsid w:val="00370B64"/>
    <w:rsid w:val="00370ED1"/>
    <w:rsid w:val="0037174F"/>
    <w:rsid w:val="00372271"/>
    <w:rsid w:val="00373D5E"/>
    <w:rsid w:val="003743DE"/>
    <w:rsid w:val="00375CDD"/>
    <w:rsid w:val="00375D19"/>
    <w:rsid w:val="00376651"/>
    <w:rsid w:val="00377745"/>
    <w:rsid w:val="00377B58"/>
    <w:rsid w:val="003800F0"/>
    <w:rsid w:val="00380692"/>
    <w:rsid w:val="00380CC6"/>
    <w:rsid w:val="0038148C"/>
    <w:rsid w:val="00381577"/>
    <w:rsid w:val="00381A92"/>
    <w:rsid w:val="0038213F"/>
    <w:rsid w:val="00382B97"/>
    <w:rsid w:val="00382BD8"/>
    <w:rsid w:val="00384123"/>
    <w:rsid w:val="00384C15"/>
    <w:rsid w:val="00385168"/>
    <w:rsid w:val="00385BA0"/>
    <w:rsid w:val="00386788"/>
    <w:rsid w:val="003871EC"/>
    <w:rsid w:val="00387BAD"/>
    <w:rsid w:val="00387CF6"/>
    <w:rsid w:val="00390499"/>
    <w:rsid w:val="00391238"/>
    <w:rsid w:val="0039169B"/>
    <w:rsid w:val="00391D10"/>
    <w:rsid w:val="00391D4E"/>
    <w:rsid w:val="003922AC"/>
    <w:rsid w:val="00392E06"/>
    <w:rsid w:val="00392FC8"/>
    <w:rsid w:val="00393551"/>
    <w:rsid w:val="00393ADB"/>
    <w:rsid w:val="00394460"/>
    <w:rsid w:val="00394B8A"/>
    <w:rsid w:val="00394CFA"/>
    <w:rsid w:val="00394D58"/>
    <w:rsid w:val="00395359"/>
    <w:rsid w:val="00395915"/>
    <w:rsid w:val="00396126"/>
    <w:rsid w:val="00396AFD"/>
    <w:rsid w:val="0039725F"/>
    <w:rsid w:val="003A015C"/>
    <w:rsid w:val="003A09C8"/>
    <w:rsid w:val="003A0C2E"/>
    <w:rsid w:val="003A114A"/>
    <w:rsid w:val="003A1E2C"/>
    <w:rsid w:val="003A22DD"/>
    <w:rsid w:val="003A2CBB"/>
    <w:rsid w:val="003A4B42"/>
    <w:rsid w:val="003A65B3"/>
    <w:rsid w:val="003A6E5B"/>
    <w:rsid w:val="003A7522"/>
    <w:rsid w:val="003A7A45"/>
    <w:rsid w:val="003A7ED5"/>
    <w:rsid w:val="003A7F4B"/>
    <w:rsid w:val="003B0F9C"/>
    <w:rsid w:val="003B0FA3"/>
    <w:rsid w:val="003B186B"/>
    <w:rsid w:val="003B1B88"/>
    <w:rsid w:val="003B2426"/>
    <w:rsid w:val="003B3C82"/>
    <w:rsid w:val="003B41AA"/>
    <w:rsid w:val="003B4E85"/>
    <w:rsid w:val="003B4F2F"/>
    <w:rsid w:val="003B548C"/>
    <w:rsid w:val="003B6181"/>
    <w:rsid w:val="003B687E"/>
    <w:rsid w:val="003B7C19"/>
    <w:rsid w:val="003B7D08"/>
    <w:rsid w:val="003C003F"/>
    <w:rsid w:val="003C0812"/>
    <w:rsid w:val="003C0EBC"/>
    <w:rsid w:val="003C12AA"/>
    <w:rsid w:val="003C1B09"/>
    <w:rsid w:val="003C2135"/>
    <w:rsid w:val="003C2744"/>
    <w:rsid w:val="003C337B"/>
    <w:rsid w:val="003C34CE"/>
    <w:rsid w:val="003C3703"/>
    <w:rsid w:val="003C46C2"/>
    <w:rsid w:val="003C4AC5"/>
    <w:rsid w:val="003C4AE8"/>
    <w:rsid w:val="003C4D7C"/>
    <w:rsid w:val="003C59EA"/>
    <w:rsid w:val="003C5D20"/>
    <w:rsid w:val="003C6D08"/>
    <w:rsid w:val="003C6DF9"/>
    <w:rsid w:val="003C711C"/>
    <w:rsid w:val="003C7A13"/>
    <w:rsid w:val="003D1948"/>
    <w:rsid w:val="003D20D3"/>
    <w:rsid w:val="003D287F"/>
    <w:rsid w:val="003D3EC2"/>
    <w:rsid w:val="003D410F"/>
    <w:rsid w:val="003D4308"/>
    <w:rsid w:val="003D44FA"/>
    <w:rsid w:val="003D4B7D"/>
    <w:rsid w:val="003D51F5"/>
    <w:rsid w:val="003D62D3"/>
    <w:rsid w:val="003D6FE4"/>
    <w:rsid w:val="003D741C"/>
    <w:rsid w:val="003D793A"/>
    <w:rsid w:val="003D7DF4"/>
    <w:rsid w:val="003E09CE"/>
    <w:rsid w:val="003E1256"/>
    <w:rsid w:val="003E16EF"/>
    <w:rsid w:val="003E191D"/>
    <w:rsid w:val="003E1A07"/>
    <w:rsid w:val="003E1D9E"/>
    <w:rsid w:val="003E2050"/>
    <w:rsid w:val="003E2263"/>
    <w:rsid w:val="003E2BA7"/>
    <w:rsid w:val="003E3761"/>
    <w:rsid w:val="003E47F1"/>
    <w:rsid w:val="003E5D04"/>
    <w:rsid w:val="003E6098"/>
    <w:rsid w:val="003E7A82"/>
    <w:rsid w:val="003E7E1E"/>
    <w:rsid w:val="003F1BCD"/>
    <w:rsid w:val="003F3948"/>
    <w:rsid w:val="003F3EAB"/>
    <w:rsid w:val="003F4DA6"/>
    <w:rsid w:val="003F4FED"/>
    <w:rsid w:val="003F5132"/>
    <w:rsid w:val="003F5B5D"/>
    <w:rsid w:val="003F6D74"/>
    <w:rsid w:val="003F6EAE"/>
    <w:rsid w:val="003F7196"/>
    <w:rsid w:val="003F770C"/>
    <w:rsid w:val="003F7906"/>
    <w:rsid w:val="003F7CF1"/>
    <w:rsid w:val="00400707"/>
    <w:rsid w:val="00400B0C"/>
    <w:rsid w:val="00401B7D"/>
    <w:rsid w:val="004028A7"/>
    <w:rsid w:val="00402EB8"/>
    <w:rsid w:val="004032E1"/>
    <w:rsid w:val="004036EA"/>
    <w:rsid w:val="0040421B"/>
    <w:rsid w:val="00405D81"/>
    <w:rsid w:val="00406766"/>
    <w:rsid w:val="00407E26"/>
    <w:rsid w:val="0041344C"/>
    <w:rsid w:val="004146C6"/>
    <w:rsid w:val="00414C30"/>
    <w:rsid w:val="00415EAF"/>
    <w:rsid w:val="00416802"/>
    <w:rsid w:val="00416AE7"/>
    <w:rsid w:val="00420FF4"/>
    <w:rsid w:val="00421810"/>
    <w:rsid w:val="00421970"/>
    <w:rsid w:val="00421E4B"/>
    <w:rsid w:val="00422228"/>
    <w:rsid w:val="00422F54"/>
    <w:rsid w:val="0042350F"/>
    <w:rsid w:val="00423610"/>
    <w:rsid w:val="00423A6B"/>
    <w:rsid w:val="00424034"/>
    <w:rsid w:val="00424286"/>
    <w:rsid w:val="00425182"/>
    <w:rsid w:val="00425997"/>
    <w:rsid w:val="00426B03"/>
    <w:rsid w:val="00426B84"/>
    <w:rsid w:val="00426C8E"/>
    <w:rsid w:val="00426FE0"/>
    <w:rsid w:val="00427C05"/>
    <w:rsid w:val="00430066"/>
    <w:rsid w:val="00431129"/>
    <w:rsid w:val="00431241"/>
    <w:rsid w:val="00431308"/>
    <w:rsid w:val="00431932"/>
    <w:rsid w:val="00431F02"/>
    <w:rsid w:val="0043224C"/>
    <w:rsid w:val="004322D9"/>
    <w:rsid w:val="004342B4"/>
    <w:rsid w:val="004348CD"/>
    <w:rsid w:val="00436D87"/>
    <w:rsid w:val="00437372"/>
    <w:rsid w:val="004405ED"/>
    <w:rsid w:val="004407D8"/>
    <w:rsid w:val="00440B1B"/>
    <w:rsid w:val="00442180"/>
    <w:rsid w:val="004452A2"/>
    <w:rsid w:val="00445BB9"/>
    <w:rsid w:val="004462BC"/>
    <w:rsid w:val="00446302"/>
    <w:rsid w:val="00446362"/>
    <w:rsid w:val="00446577"/>
    <w:rsid w:val="00446B84"/>
    <w:rsid w:val="00446CF4"/>
    <w:rsid w:val="00447555"/>
    <w:rsid w:val="004475AD"/>
    <w:rsid w:val="00447B17"/>
    <w:rsid w:val="00447D7F"/>
    <w:rsid w:val="00450035"/>
    <w:rsid w:val="0045161B"/>
    <w:rsid w:val="00451A79"/>
    <w:rsid w:val="004525F3"/>
    <w:rsid w:val="00452C24"/>
    <w:rsid w:val="004532F8"/>
    <w:rsid w:val="004537DC"/>
    <w:rsid w:val="00454126"/>
    <w:rsid w:val="00455E21"/>
    <w:rsid w:val="0045726C"/>
    <w:rsid w:val="004605BE"/>
    <w:rsid w:val="004607F4"/>
    <w:rsid w:val="00460F8E"/>
    <w:rsid w:val="00461EE8"/>
    <w:rsid w:val="00462C5D"/>
    <w:rsid w:val="0046302B"/>
    <w:rsid w:val="004637E4"/>
    <w:rsid w:val="00463B17"/>
    <w:rsid w:val="00465596"/>
    <w:rsid w:val="00466061"/>
    <w:rsid w:val="00466593"/>
    <w:rsid w:val="004667D4"/>
    <w:rsid w:val="00466E4D"/>
    <w:rsid w:val="004700A4"/>
    <w:rsid w:val="0047012A"/>
    <w:rsid w:val="00470425"/>
    <w:rsid w:val="00470D03"/>
    <w:rsid w:val="0047118D"/>
    <w:rsid w:val="00471D87"/>
    <w:rsid w:val="004721EF"/>
    <w:rsid w:val="00472AC0"/>
    <w:rsid w:val="00474379"/>
    <w:rsid w:val="00475AF1"/>
    <w:rsid w:val="00475B5B"/>
    <w:rsid w:val="0047667B"/>
    <w:rsid w:val="004769D7"/>
    <w:rsid w:val="00476BB9"/>
    <w:rsid w:val="00477224"/>
    <w:rsid w:val="0047730C"/>
    <w:rsid w:val="004773BB"/>
    <w:rsid w:val="00480D27"/>
    <w:rsid w:val="00480DEE"/>
    <w:rsid w:val="00480E6D"/>
    <w:rsid w:val="004811BF"/>
    <w:rsid w:val="004821C8"/>
    <w:rsid w:val="00482CA9"/>
    <w:rsid w:val="00482CE5"/>
    <w:rsid w:val="00483099"/>
    <w:rsid w:val="00483C1D"/>
    <w:rsid w:val="00484795"/>
    <w:rsid w:val="00484A18"/>
    <w:rsid w:val="00484D3F"/>
    <w:rsid w:val="00484E6A"/>
    <w:rsid w:val="004856AA"/>
    <w:rsid w:val="004857AB"/>
    <w:rsid w:val="00485FE3"/>
    <w:rsid w:val="0049079B"/>
    <w:rsid w:val="004917F1"/>
    <w:rsid w:val="0049235F"/>
    <w:rsid w:val="00492A8C"/>
    <w:rsid w:val="00493E25"/>
    <w:rsid w:val="004940F3"/>
    <w:rsid w:val="00494CC9"/>
    <w:rsid w:val="00494F7C"/>
    <w:rsid w:val="00495BEE"/>
    <w:rsid w:val="00497D74"/>
    <w:rsid w:val="004A110E"/>
    <w:rsid w:val="004A18F0"/>
    <w:rsid w:val="004A1F01"/>
    <w:rsid w:val="004A2797"/>
    <w:rsid w:val="004A357B"/>
    <w:rsid w:val="004A41F0"/>
    <w:rsid w:val="004A4A81"/>
    <w:rsid w:val="004A4B56"/>
    <w:rsid w:val="004A4C64"/>
    <w:rsid w:val="004A4DC3"/>
    <w:rsid w:val="004A4E9A"/>
    <w:rsid w:val="004A5708"/>
    <w:rsid w:val="004A64A8"/>
    <w:rsid w:val="004A663F"/>
    <w:rsid w:val="004A7F8C"/>
    <w:rsid w:val="004B051F"/>
    <w:rsid w:val="004B06F5"/>
    <w:rsid w:val="004B0B36"/>
    <w:rsid w:val="004B12B8"/>
    <w:rsid w:val="004B17AE"/>
    <w:rsid w:val="004B1D8F"/>
    <w:rsid w:val="004B20DC"/>
    <w:rsid w:val="004B2BFD"/>
    <w:rsid w:val="004B3A12"/>
    <w:rsid w:val="004B440D"/>
    <w:rsid w:val="004B6446"/>
    <w:rsid w:val="004B657E"/>
    <w:rsid w:val="004B7118"/>
    <w:rsid w:val="004B7336"/>
    <w:rsid w:val="004C0608"/>
    <w:rsid w:val="004C14C5"/>
    <w:rsid w:val="004C1801"/>
    <w:rsid w:val="004C202C"/>
    <w:rsid w:val="004C2128"/>
    <w:rsid w:val="004C217C"/>
    <w:rsid w:val="004C2250"/>
    <w:rsid w:val="004C299D"/>
    <w:rsid w:val="004C2F8D"/>
    <w:rsid w:val="004C334D"/>
    <w:rsid w:val="004C3D6B"/>
    <w:rsid w:val="004C3E0F"/>
    <w:rsid w:val="004C52A0"/>
    <w:rsid w:val="004C54B4"/>
    <w:rsid w:val="004C5C42"/>
    <w:rsid w:val="004C60EB"/>
    <w:rsid w:val="004C684D"/>
    <w:rsid w:val="004C6EAD"/>
    <w:rsid w:val="004C7AB9"/>
    <w:rsid w:val="004C7F13"/>
    <w:rsid w:val="004D0464"/>
    <w:rsid w:val="004D0522"/>
    <w:rsid w:val="004D0E52"/>
    <w:rsid w:val="004D13C6"/>
    <w:rsid w:val="004D1482"/>
    <w:rsid w:val="004D1A58"/>
    <w:rsid w:val="004D2177"/>
    <w:rsid w:val="004D2988"/>
    <w:rsid w:val="004D2ADC"/>
    <w:rsid w:val="004D32EF"/>
    <w:rsid w:val="004D3BE3"/>
    <w:rsid w:val="004D3CD3"/>
    <w:rsid w:val="004D4BE4"/>
    <w:rsid w:val="004D5378"/>
    <w:rsid w:val="004D548B"/>
    <w:rsid w:val="004D626A"/>
    <w:rsid w:val="004D6335"/>
    <w:rsid w:val="004D655F"/>
    <w:rsid w:val="004D6EF2"/>
    <w:rsid w:val="004D6F6E"/>
    <w:rsid w:val="004D7474"/>
    <w:rsid w:val="004D7900"/>
    <w:rsid w:val="004E0130"/>
    <w:rsid w:val="004E020F"/>
    <w:rsid w:val="004E063D"/>
    <w:rsid w:val="004E1764"/>
    <w:rsid w:val="004E2335"/>
    <w:rsid w:val="004E34D8"/>
    <w:rsid w:val="004E3843"/>
    <w:rsid w:val="004E3B37"/>
    <w:rsid w:val="004E3E5A"/>
    <w:rsid w:val="004E4191"/>
    <w:rsid w:val="004E4355"/>
    <w:rsid w:val="004E5900"/>
    <w:rsid w:val="004E5BC7"/>
    <w:rsid w:val="004E6B58"/>
    <w:rsid w:val="004E76F2"/>
    <w:rsid w:val="004E772B"/>
    <w:rsid w:val="004F028D"/>
    <w:rsid w:val="004F0DEF"/>
    <w:rsid w:val="004F1703"/>
    <w:rsid w:val="004F1A2C"/>
    <w:rsid w:val="004F1C4D"/>
    <w:rsid w:val="004F2464"/>
    <w:rsid w:val="004F3009"/>
    <w:rsid w:val="004F49A1"/>
    <w:rsid w:val="004F4F61"/>
    <w:rsid w:val="004F56E3"/>
    <w:rsid w:val="004F63EA"/>
    <w:rsid w:val="004F6BE1"/>
    <w:rsid w:val="004F7C7F"/>
    <w:rsid w:val="0050139C"/>
    <w:rsid w:val="0050246A"/>
    <w:rsid w:val="00502FEF"/>
    <w:rsid w:val="005059CE"/>
    <w:rsid w:val="00505CB5"/>
    <w:rsid w:val="00505EFA"/>
    <w:rsid w:val="005060C9"/>
    <w:rsid w:val="00506488"/>
    <w:rsid w:val="005065C7"/>
    <w:rsid w:val="00506A9F"/>
    <w:rsid w:val="005078E9"/>
    <w:rsid w:val="00510BF8"/>
    <w:rsid w:val="00510D23"/>
    <w:rsid w:val="00510EA7"/>
    <w:rsid w:val="00510F08"/>
    <w:rsid w:val="005113C1"/>
    <w:rsid w:val="00511F29"/>
    <w:rsid w:val="00512092"/>
    <w:rsid w:val="00512A85"/>
    <w:rsid w:val="00513851"/>
    <w:rsid w:val="00513903"/>
    <w:rsid w:val="00513D44"/>
    <w:rsid w:val="00513E79"/>
    <w:rsid w:val="00514176"/>
    <w:rsid w:val="005146D4"/>
    <w:rsid w:val="00514D54"/>
    <w:rsid w:val="00515F5E"/>
    <w:rsid w:val="005166E2"/>
    <w:rsid w:val="00516DE9"/>
    <w:rsid w:val="00517521"/>
    <w:rsid w:val="005212CD"/>
    <w:rsid w:val="0052161C"/>
    <w:rsid w:val="00521A17"/>
    <w:rsid w:val="005222BA"/>
    <w:rsid w:val="00522515"/>
    <w:rsid w:val="00522D7B"/>
    <w:rsid w:val="00523009"/>
    <w:rsid w:val="00523173"/>
    <w:rsid w:val="00523B3C"/>
    <w:rsid w:val="005250CD"/>
    <w:rsid w:val="005252D2"/>
    <w:rsid w:val="00525D29"/>
    <w:rsid w:val="00527037"/>
    <w:rsid w:val="005270C4"/>
    <w:rsid w:val="0052710E"/>
    <w:rsid w:val="005277CE"/>
    <w:rsid w:val="00527980"/>
    <w:rsid w:val="00531782"/>
    <w:rsid w:val="00532468"/>
    <w:rsid w:val="0053371F"/>
    <w:rsid w:val="0053568F"/>
    <w:rsid w:val="0053675D"/>
    <w:rsid w:val="00537753"/>
    <w:rsid w:val="005400E6"/>
    <w:rsid w:val="005404FB"/>
    <w:rsid w:val="0054189A"/>
    <w:rsid w:val="00541E29"/>
    <w:rsid w:val="00542113"/>
    <w:rsid w:val="00542939"/>
    <w:rsid w:val="0054311B"/>
    <w:rsid w:val="00544DB2"/>
    <w:rsid w:val="00545525"/>
    <w:rsid w:val="00545B94"/>
    <w:rsid w:val="00545CEF"/>
    <w:rsid w:val="00546284"/>
    <w:rsid w:val="00547450"/>
    <w:rsid w:val="00547D67"/>
    <w:rsid w:val="005511A1"/>
    <w:rsid w:val="00551B9D"/>
    <w:rsid w:val="005524CE"/>
    <w:rsid w:val="00552F70"/>
    <w:rsid w:val="005531F3"/>
    <w:rsid w:val="00554684"/>
    <w:rsid w:val="005555C6"/>
    <w:rsid w:val="00555B04"/>
    <w:rsid w:val="00555CFB"/>
    <w:rsid w:val="00555F4F"/>
    <w:rsid w:val="0055602B"/>
    <w:rsid w:val="00556439"/>
    <w:rsid w:val="00556687"/>
    <w:rsid w:val="00556939"/>
    <w:rsid w:val="0055781D"/>
    <w:rsid w:val="0056055F"/>
    <w:rsid w:val="0056119A"/>
    <w:rsid w:val="00561341"/>
    <w:rsid w:val="00562363"/>
    <w:rsid w:val="00562939"/>
    <w:rsid w:val="00564B6F"/>
    <w:rsid w:val="00564E93"/>
    <w:rsid w:val="0056505B"/>
    <w:rsid w:val="00566037"/>
    <w:rsid w:val="005671AA"/>
    <w:rsid w:val="00567711"/>
    <w:rsid w:val="00567770"/>
    <w:rsid w:val="00570224"/>
    <w:rsid w:val="00570BF6"/>
    <w:rsid w:val="00572212"/>
    <w:rsid w:val="00572522"/>
    <w:rsid w:val="00572EA3"/>
    <w:rsid w:val="00574227"/>
    <w:rsid w:val="00574982"/>
    <w:rsid w:val="00574D5F"/>
    <w:rsid w:val="005758D6"/>
    <w:rsid w:val="00575DCB"/>
    <w:rsid w:val="00576106"/>
    <w:rsid w:val="00576892"/>
    <w:rsid w:val="00577519"/>
    <w:rsid w:val="00577E81"/>
    <w:rsid w:val="00581131"/>
    <w:rsid w:val="0058161C"/>
    <w:rsid w:val="00582E2D"/>
    <w:rsid w:val="00583153"/>
    <w:rsid w:val="0058488F"/>
    <w:rsid w:val="00584CC6"/>
    <w:rsid w:val="005850E7"/>
    <w:rsid w:val="005853CE"/>
    <w:rsid w:val="00586F66"/>
    <w:rsid w:val="0058716D"/>
    <w:rsid w:val="00587A67"/>
    <w:rsid w:val="00587CCA"/>
    <w:rsid w:val="0059023D"/>
    <w:rsid w:val="00590562"/>
    <w:rsid w:val="0059069B"/>
    <w:rsid w:val="005908ED"/>
    <w:rsid w:val="00591FB9"/>
    <w:rsid w:val="0059292E"/>
    <w:rsid w:val="00592D0F"/>
    <w:rsid w:val="00593FEC"/>
    <w:rsid w:val="00594C50"/>
    <w:rsid w:val="005953EC"/>
    <w:rsid w:val="00595C40"/>
    <w:rsid w:val="005966E0"/>
    <w:rsid w:val="00597FC8"/>
    <w:rsid w:val="005A1117"/>
    <w:rsid w:val="005A11D1"/>
    <w:rsid w:val="005A11ED"/>
    <w:rsid w:val="005A3DF5"/>
    <w:rsid w:val="005A4211"/>
    <w:rsid w:val="005A45F8"/>
    <w:rsid w:val="005A4A7F"/>
    <w:rsid w:val="005A50F7"/>
    <w:rsid w:val="005A550A"/>
    <w:rsid w:val="005A5524"/>
    <w:rsid w:val="005A5B18"/>
    <w:rsid w:val="005A6071"/>
    <w:rsid w:val="005A638E"/>
    <w:rsid w:val="005A6E44"/>
    <w:rsid w:val="005A7AFE"/>
    <w:rsid w:val="005A7EC9"/>
    <w:rsid w:val="005B08AF"/>
    <w:rsid w:val="005B1270"/>
    <w:rsid w:val="005B1AB2"/>
    <w:rsid w:val="005B24D2"/>
    <w:rsid w:val="005B256D"/>
    <w:rsid w:val="005B3863"/>
    <w:rsid w:val="005B393E"/>
    <w:rsid w:val="005B3DCE"/>
    <w:rsid w:val="005B4814"/>
    <w:rsid w:val="005B4AA9"/>
    <w:rsid w:val="005B4C6A"/>
    <w:rsid w:val="005B50CA"/>
    <w:rsid w:val="005B5254"/>
    <w:rsid w:val="005B5388"/>
    <w:rsid w:val="005B604D"/>
    <w:rsid w:val="005B60BE"/>
    <w:rsid w:val="005B6300"/>
    <w:rsid w:val="005B673D"/>
    <w:rsid w:val="005B6FE9"/>
    <w:rsid w:val="005B77A9"/>
    <w:rsid w:val="005B7A82"/>
    <w:rsid w:val="005C14C0"/>
    <w:rsid w:val="005C26CB"/>
    <w:rsid w:val="005C3B52"/>
    <w:rsid w:val="005C41E3"/>
    <w:rsid w:val="005C4B38"/>
    <w:rsid w:val="005C4FD8"/>
    <w:rsid w:val="005C510A"/>
    <w:rsid w:val="005C53B8"/>
    <w:rsid w:val="005C5B75"/>
    <w:rsid w:val="005C64BE"/>
    <w:rsid w:val="005C79E0"/>
    <w:rsid w:val="005C7FDB"/>
    <w:rsid w:val="005D1BF5"/>
    <w:rsid w:val="005D260E"/>
    <w:rsid w:val="005D261E"/>
    <w:rsid w:val="005D2895"/>
    <w:rsid w:val="005D3279"/>
    <w:rsid w:val="005D37BA"/>
    <w:rsid w:val="005D3DBB"/>
    <w:rsid w:val="005D4736"/>
    <w:rsid w:val="005D4F66"/>
    <w:rsid w:val="005D5188"/>
    <w:rsid w:val="005D54EF"/>
    <w:rsid w:val="005D55D0"/>
    <w:rsid w:val="005D71EE"/>
    <w:rsid w:val="005D7D3D"/>
    <w:rsid w:val="005E031A"/>
    <w:rsid w:val="005E055D"/>
    <w:rsid w:val="005E05B0"/>
    <w:rsid w:val="005E06E8"/>
    <w:rsid w:val="005E07B9"/>
    <w:rsid w:val="005E20F4"/>
    <w:rsid w:val="005E3019"/>
    <w:rsid w:val="005E460A"/>
    <w:rsid w:val="005E46D6"/>
    <w:rsid w:val="005E4D9D"/>
    <w:rsid w:val="005E611A"/>
    <w:rsid w:val="005E6711"/>
    <w:rsid w:val="005E6D35"/>
    <w:rsid w:val="005E706A"/>
    <w:rsid w:val="005E753B"/>
    <w:rsid w:val="005F1427"/>
    <w:rsid w:val="005F16D1"/>
    <w:rsid w:val="005F1841"/>
    <w:rsid w:val="005F208D"/>
    <w:rsid w:val="005F2C0C"/>
    <w:rsid w:val="005F2DCF"/>
    <w:rsid w:val="005F3388"/>
    <w:rsid w:val="005F3ACB"/>
    <w:rsid w:val="005F426A"/>
    <w:rsid w:val="005F445F"/>
    <w:rsid w:val="005F4A0C"/>
    <w:rsid w:val="005F5252"/>
    <w:rsid w:val="005F63EB"/>
    <w:rsid w:val="005F7FA6"/>
    <w:rsid w:val="006000D1"/>
    <w:rsid w:val="006014A1"/>
    <w:rsid w:val="006022CE"/>
    <w:rsid w:val="00602EC4"/>
    <w:rsid w:val="00603607"/>
    <w:rsid w:val="00603926"/>
    <w:rsid w:val="00603B74"/>
    <w:rsid w:val="00603F49"/>
    <w:rsid w:val="006043C0"/>
    <w:rsid w:val="006044DC"/>
    <w:rsid w:val="00605012"/>
    <w:rsid w:val="00605633"/>
    <w:rsid w:val="00605DAA"/>
    <w:rsid w:val="00606978"/>
    <w:rsid w:val="006069B8"/>
    <w:rsid w:val="00607C64"/>
    <w:rsid w:val="00607E28"/>
    <w:rsid w:val="006102E8"/>
    <w:rsid w:val="0061036A"/>
    <w:rsid w:val="0061039D"/>
    <w:rsid w:val="00610975"/>
    <w:rsid w:val="00611688"/>
    <w:rsid w:val="006117A3"/>
    <w:rsid w:val="00612D77"/>
    <w:rsid w:val="006131AD"/>
    <w:rsid w:val="00613F1C"/>
    <w:rsid w:val="006142BA"/>
    <w:rsid w:val="00614BFD"/>
    <w:rsid w:val="0061544F"/>
    <w:rsid w:val="00615656"/>
    <w:rsid w:val="00615BFC"/>
    <w:rsid w:val="006160F0"/>
    <w:rsid w:val="0061614C"/>
    <w:rsid w:val="0061644F"/>
    <w:rsid w:val="0061676A"/>
    <w:rsid w:val="00617813"/>
    <w:rsid w:val="0062125E"/>
    <w:rsid w:val="0062166A"/>
    <w:rsid w:val="0062180C"/>
    <w:rsid w:val="00621ECD"/>
    <w:rsid w:val="0062212B"/>
    <w:rsid w:val="0062260D"/>
    <w:rsid w:val="00622A73"/>
    <w:rsid w:val="006232ED"/>
    <w:rsid w:val="00623369"/>
    <w:rsid w:val="006234E7"/>
    <w:rsid w:val="006251CE"/>
    <w:rsid w:val="00625FCE"/>
    <w:rsid w:val="0062646C"/>
    <w:rsid w:val="00626C16"/>
    <w:rsid w:val="00627177"/>
    <w:rsid w:val="00627C71"/>
    <w:rsid w:val="006301CB"/>
    <w:rsid w:val="0063161F"/>
    <w:rsid w:val="006319CC"/>
    <w:rsid w:val="0063219A"/>
    <w:rsid w:val="006323BC"/>
    <w:rsid w:val="006329B1"/>
    <w:rsid w:val="00634178"/>
    <w:rsid w:val="00634E6E"/>
    <w:rsid w:val="006357E2"/>
    <w:rsid w:val="00635C84"/>
    <w:rsid w:val="00637069"/>
    <w:rsid w:val="00640EDB"/>
    <w:rsid w:val="00640F6C"/>
    <w:rsid w:val="00641797"/>
    <w:rsid w:val="006421B9"/>
    <w:rsid w:val="006421ED"/>
    <w:rsid w:val="00642358"/>
    <w:rsid w:val="006430C1"/>
    <w:rsid w:val="006435B5"/>
    <w:rsid w:val="00643F01"/>
    <w:rsid w:val="00644032"/>
    <w:rsid w:val="00644CA9"/>
    <w:rsid w:val="0064512A"/>
    <w:rsid w:val="00645E37"/>
    <w:rsid w:val="00646E03"/>
    <w:rsid w:val="00647D69"/>
    <w:rsid w:val="006506D0"/>
    <w:rsid w:val="00650779"/>
    <w:rsid w:val="006518DE"/>
    <w:rsid w:val="00654217"/>
    <w:rsid w:val="00654CBC"/>
    <w:rsid w:val="00655130"/>
    <w:rsid w:val="00655503"/>
    <w:rsid w:val="00655A34"/>
    <w:rsid w:val="00655F37"/>
    <w:rsid w:val="006565FC"/>
    <w:rsid w:val="00656666"/>
    <w:rsid w:val="00657B40"/>
    <w:rsid w:val="00661D81"/>
    <w:rsid w:val="006621E8"/>
    <w:rsid w:val="00662669"/>
    <w:rsid w:val="00662F14"/>
    <w:rsid w:val="00662F84"/>
    <w:rsid w:val="006645A3"/>
    <w:rsid w:val="006650C1"/>
    <w:rsid w:val="00667569"/>
    <w:rsid w:val="006702B3"/>
    <w:rsid w:val="00671968"/>
    <w:rsid w:val="00671A29"/>
    <w:rsid w:val="00672224"/>
    <w:rsid w:val="006727F3"/>
    <w:rsid w:val="00672D19"/>
    <w:rsid w:val="00672DE4"/>
    <w:rsid w:val="006733BA"/>
    <w:rsid w:val="00674492"/>
    <w:rsid w:val="006759E3"/>
    <w:rsid w:val="00675A9C"/>
    <w:rsid w:val="00675C5B"/>
    <w:rsid w:val="00676A64"/>
    <w:rsid w:val="00680312"/>
    <w:rsid w:val="006807E4"/>
    <w:rsid w:val="00681418"/>
    <w:rsid w:val="00681801"/>
    <w:rsid w:val="00681DA4"/>
    <w:rsid w:val="006826DF"/>
    <w:rsid w:val="006835FA"/>
    <w:rsid w:val="00684039"/>
    <w:rsid w:val="00684178"/>
    <w:rsid w:val="006844D1"/>
    <w:rsid w:val="00686119"/>
    <w:rsid w:val="00686223"/>
    <w:rsid w:val="00686CE8"/>
    <w:rsid w:val="00686D2B"/>
    <w:rsid w:val="00690473"/>
    <w:rsid w:val="006904D9"/>
    <w:rsid w:val="00690885"/>
    <w:rsid w:val="00690C66"/>
    <w:rsid w:val="00690CDC"/>
    <w:rsid w:val="00691429"/>
    <w:rsid w:val="00691CF8"/>
    <w:rsid w:val="00692A58"/>
    <w:rsid w:val="00693DA2"/>
    <w:rsid w:val="006941A5"/>
    <w:rsid w:val="006941E4"/>
    <w:rsid w:val="00695308"/>
    <w:rsid w:val="006964E2"/>
    <w:rsid w:val="006967FA"/>
    <w:rsid w:val="00696E1B"/>
    <w:rsid w:val="00696EC7"/>
    <w:rsid w:val="006976B3"/>
    <w:rsid w:val="00697D12"/>
    <w:rsid w:val="00697E59"/>
    <w:rsid w:val="006A039D"/>
    <w:rsid w:val="006A1DFE"/>
    <w:rsid w:val="006A2EB4"/>
    <w:rsid w:val="006A3255"/>
    <w:rsid w:val="006A364D"/>
    <w:rsid w:val="006A368A"/>
    <w:rsid w:val="006A44C7"/>
    <w:rsid w:val="006A517B"/>
    <w:rsid w:val="006A5E12"/>
    <w:rsid w:val="006A6CA7"/>
    <w:rsid w:val="006B03AA"/>
    <w:rsid w:val="006B1BD1"/>
    <w:rsid w:val="006B1DD6"/>
    <w:rsid w:val="006B24E4"/>
    <w:rsid w:val="006B27F9"/>
    <w:rsid w:val="006B2ABE"/>
    <w:rsid w:val="006B344A"/>
    <w:rsid w:val="006B3BCB"/>
    <w:rsid w:val="006B41AE"/>
    <w:rsid w:val="006B431C"/>
    <w:rsid w:val="006B45C8"/>
    <w:rsid w:val="006B4C45"/>
    <w:rsid w:val="006B54E0"/>
    <w:rsid w:val="006B5C39"/>
    <w:rsid w:val="006B7EC4"/>
    <w:rsid w:val="006C06A9"/>
    <w:rsid w:val="006C10D3"/>
    <w:rsid w:val="006C1CD6"/>
    <w:rsid w:val="006C28FF"/>
    <w:rsid w:val="006C358F"/>
    <w:rsid w:val="006C3A36"/>
    <w:rsid w:val="006C45BC"/>
    <w:rsid w:val="006C45EA"/>
    <w:rsid w:val="006C4D57"/>
    <w:rsid w:val="006C5158"/>
    <w:rsid w:val="006C53D6"/>
    <w:rsid w:val="006C5E32"/>
    <w:rsid w:val="006C5EBC"/>
    <w:rsid w:val="006C72B4"/>
    <w:rsid w:val="006C7EE6"/>
    <w:rsid w:val="006D0394"/>
    <w:rsid w:val="006D0B66"/>
    <w:rsid w:val="006D24C9"/>
    <w:rsid w:val="006D255E"/>
    <w:rsid w:val="006D35A1"/>
    <w:rsid w:val="006D4038"/>
    <w:rsid w:val="006D4312"/>
    <w:rsid w:val="006D4E85"/>
    <w:rsid w:val="006D5D42"/>
    <w:rsid w:val="006D7060"/>
    <w:rsid w:val="006D7E9F"/>
    <w:rsid w:val="006E034B"/>
    <w:rsid w:val="006E179B"/>
    <w:rsid w:val="006E23FA"/>
    <w:rsid w:val="006E256D"/>
    <w:rsid w:val="006E2A62"/>
    <w:rsid w:val="006E31B7"/>
    <w:rsid w:val="006E3D06"/>
    <w:rsid w:val="006E55B7"/>
    <w:rsid w:val="006E5768"/>
    <w:rsid w:val="006E5BEA"/>
    <w:rsid w:val="006E600C"/>
    <w:rsid w:val="006E6160"/>
    <w:rsid w:val="006E63DF"/>
    <w:rsid w:val="006E710E"/>
    <w:rsid w:val="006E79E4"/>
    <w:rsid w:val="006F0218"/>
    <w:rsid w:val="006F1AC0"/>
    <w:rsid w:val="006F1F91"/>
    <w:rsid w:val="006F387C"/>
    <w:rsid w:val="006F428C"/>
    <w:rsid w:val="006F444A"/>
    <w:rsid w:val="006F48B5"/>
    <w:rsid w:val="006F4A35"/>
    <w:rsid w:val="006F55C7"/>
    <w:rsid w:val="006F69AB"/>
    <w:rsid w:val="006F6BC7"/>
    <w:rsid w:val="006F736C"/>
    <w:rsid w:val="006F7AAE"/>
    <w:rsid w:val="006F7CDC"/>
    <w:rsid w:val="007014BA"/>
    <w:rsid w:val="00701945"/>
    <w:rsid w:val="00702378"/>
    <w:rsid w:val="0070392D"/>
    <w:rsid w:val="00703AD7"/>
    <w:rsid w:val="00703EE9"/>
    <w:rsid w:val="00704AF9"/>
    <w:rsid w:val="007061B3"/>
    <w:rsid w:val="00706428"/>
    <w:rsid w:val="00707402"/>
    <w:rsid w:val="00707D58"/>
    <w:rsid w:val="007117F6"/>
    <w:rsid w:val="00711B41"/>
    <w:rsid w:val="0071309B"/>
    <w:rsid w:val="00713A01"/>
    <w:rsid w:val="00715646"/>
    <w:rsid w:val="00716CD2"/>
    <w:rsid w:val="00716EAD"/>
    <w:rsid w:val="007170B2"/>
    <w:rsid w:val="00717993"/>
    <w:rsid w:val="00720709"/>
    <w:rsid w:val="00720CE6"/>
    <w:rsid w:val="0072185F"/>
    <w:rsid w:val="00722013"/>
    <w:rsid w:val="00722E93"/>
    <w:rsid w:val="007230FE"/>
    <w:rsid w:val="007250BD"/>
    <w:rsid w:val="007256B7"/>
    <w:rsid w:val="00725775"/>
    <w:rsid w:val="00726056"/>
    <w:rsid w:val="0072645D"/>
    <w:rsid w:val="007272A0"/>
    <w:rsid w:val="0072745A"/>
    <w:rsid w:val="00730D79"/>
    <w:rsid w:val="00730FD6"/>
    <w:rsid w:val="00732F5A"/>
    <w:rsid w:val="007341EF"/>
    <w:rsid w:val="00734ACE"/>
    <w:rsid w:val="00735D72"/>
    <w:rsid w:val="00736109"/>
    <w:rsid w:val="00737317"/>
    <w:rsid w:val="0073739F"/>
    <w:rsid w:val="007373C4"/>
    <w:rsid w:val="00737931"/>
    <w:rsid w:val="00737D57"/>
    <w:rsid w:val="00737ED5"/>
    <w:rsid w:val="00737FC4"/>
    <w:rsid w:val="007405CC"/>
    <w:rsid w:val="00741FD2"/>
    <w:rsid w:val="00742982"/>
    <w:rsid w:val="00743296"/>
    <w:rsid w:val="00743A6C"/>
    <w:rsid w:val="00744006"/>
    <w:rsid w:val="007442C4"/>
    <w:rsid w:val="007447EC"/>
    <w:rsid w:val="00744B25"/>
    <w:rsid w:val="00745094"/>
    <w:rsid w:val="0074554E"/>
    <w:rsid w:val="00745A37"/>
    <w:rsid w:val="00746CD2"/>
    <w:rsid w:val="00746E10"/>
    <w:rsid w:val="007473BE"/>
    <w:rsid w:val="007478D2"/>
    <w:rsid w:val="007478EA"/>
    <w:rsid w:val="00747EB3"/>
    <w:rsid w:val="00751A41"/>
    <w:rsid w:val="00751DD8"/>
    <w:rsid w:val="00752255"/>
    <w:rsid w:val="007526F1"/>
    <w:rsid w:val="00752BE7"/>
    <w:rsid w:val="00752C8A"/>
    <w:rsid w:val="00752E2B"/>
    <w:rsid w:val="00753B1D"/>
    <w:rsid w:val="00753FFC"/>
    <w:rsid w:val="0075422B"/>
    <w:rsid w:val="007555D9"/>
    <w:rsid w:val="00755D5F"/>
    <w:rsid w:val="00756214"/>
    <w:rsid w:val="00760BFA"/>
    <w:rsid w:val="00760EF1"/>
    <w:rsid w:val="00761412"/>
    <w:rsid w:val="007616F3"/>
    <w:rsid w:val="00761FC1"/>
    <w:rsid w:val="007628AE"/>
    <w:rsid w:val="00762D77"/>
    <w:rsid w:val="007630EE"/>
    <w:rsid w:val="00765DFB"/>
    <w:rsid w:val="00765F75"/>
    <w:rsid w:val="00766080"/>
    <w:rsid w:val="007662E8"/>
    <w:rsid w:val="007678C1"/>
    <w:rsid w:val="00770288"/>
    <w:rsid w:val="00770D55"/>
    <w:rsid w:val="00771F76"/>
    <w:rsid w:val="0077324C"/>
    <w:rsid w:val="00773C81"/>
    <w:rsid w:val="00773EB9"/>
    <w:rsid w:val="007744B1"/>
    <w:rsid w:val="00774601"/>
    <w:rsid w:val="00774808"/>
    <w:rsid w:val="0077519D"/>
    <w:rsid w:val="00775367"/>
    <w:rsid w:val="00776370"/>
    <w:rsid w:val="007775B8"/>
    <w:rsid w:val="00777956"/>
    <w:rsid w:val="00780115"/>
    <w:rsid w:val="00780D6E"/>
    <w:rsid w:val="007815AC"/>
    <w:rsid w:val="00781730"/>
    <w:rsid w:val="00781936"/>
    <w:rsid w:val="00781C87"/>
    <w:rsid w:val="00781CFB"/>
    <w:rsid w:val="00781FA1"/>
    <w:rsid w:val="00783766"/>
    <w:rsid w:val="00783D92"/>
    <w:rsid w:val="00783E27"/>
    <w:rsid w:val="00784182"/>
    <w:rsid w:val="00784210"/>
    <w:rsid w:val="0078421C"/>
    <w:rsid w:val="007843FF"/>
    <w:rsid w:val="0078497A"/>
    <w:rsid w:val="00785436"/>
    <w:rsid w:val="0078698F"/>
    <w:rsid w:val="0078775B"/>
    <w:rsid w:val="007879FB"/>
    <w:rsid w:val="0079025A"/>
    <w:rsid w:val="007906A8"/>
    <w:rsid w:val="00790BFB"/>
    <w:rsid w:val="00790D91"/>
    <w:rsid w:val="00791697"/>
    <w:rsid w:val="00791A49"/>
    <w:rsid w:val="00791B01"/>
    <w:rsid w:val="00793B2F"/>
    <w:rsid w:val="00793D27"/>
    <w:rsid w:val="00794072"/>
    <w:rsid w:val="00794171"/>
    <w:rsid w:val="00794263"/>
    <w:rsid w:val="0079453B"/>
    <w:rsid w:val="00794A33"/>
    <w:rsid w:val="00794FA6"/>
    <w:rsid w:val="00794FCA"/>
    <w:rsid w:val="00795069"/>
    <w:rsid w:val="007956BB"/>
    <w:rsid w:val="00795C62"/>
    <w:rsid w:val="00796388"/>
    <w:rsid w:val="007971BC"/>
    <w:rsid w:val="007971FB"/>
    <w:rsid w:val="00797959"/>
    <w:rsid w:val="007A0361"/>
    <w:rsid w:val="007A03E1"/>
    <w:rsid w:val="007A084F"/>
    <w:rsid w:val="007A0AFB"/>
    <w:rsid w:val="007A0CEE"/>
    <w:rsid w:val="007A0D89"/>
    <w:rsid w:val="007A1386"/>
    <w:rsid w:val="007A3CDC"/>
    <w:rsid w:val="007A4247"/>
    <w:rsid w:val="007A4EDB"/>
    <w:rsid w:val="007A4F47"/>
    <w:rsid w:val="007A5299"/>
    <w:rsid w:val="007A5A97"/>
    <w:rsid w:val="007A5AF5"/>
    <w:rsid w:val="007A61B8"/>
    <w:rsid w:val="007A697A"/>
    <w:rsid w:val="007A71C2"/>
    <w:rsid w:val="007A7268"/>
    <w:rsid w:val="007A7AA1"/>
    <w:rsid w:val="007B003F"/>
    <w:rsid w:val="007B00D7"/>
    <w:rsid w:val="007B02BA"/>
    <w:rsid w:val="007B0467"/>
    <w:rsid w:val="007B04BF"/>
    <w:rsid w:val="007B0787"/>
    <w:rsid w:val="007B0CAA"/>
    <w:rsid w:val="007B12B1"/>
    <w:rsid w:val="007B135D"/>
    <w:rsid w:val="007B26C7"/>
    <w:rsid w:val="007B2B61"/>
    <w:rsid w:val="007B310E"/>
    <w:rsid w:val="007B3AD9"/>
    <w:rsid w:val="007B4E19"/>
    <w:rsid w:val="007B5358"/>
    <w:rsid w:val="007B57AB"/>
    <w:rsid w:val="007B6676"/>
    <w:rsid w:val="007B7AF5"/>
    <w:rsid w:val="007B7FD1"/>
    <w:rsid w:val="007C0D11"/>
    <w:rsid w:val="007C0D4F"/>
    <w:rsid w:val="007C0D69"/>
    <w:rsid w:val="007C0EAF"/>
    <w:rsid w:val="007C14E7"/>
    <w:rsid w:val="007C150C"/>
    <w:rsid w:val="007C1D6A"/>
    <w:rsid w:val="007C257D"/>
    <w:rsid w:val="007C2638"/>
    <w:rsid w:val="007C27E1"/>
    <w:rsid w:val="007C3019"/>
    <w:rsid w:val="007C3ADE"/>
    <w:rsid w:val="007C4857"/>
    <w:rsid w:val="007C4DDF"/>
    <w:rsid w:val="007C58D1"/>
    <w:rsid w:val="007C5EBB"/>
    <w:rsid w:val="007C679F"/>
    <w:rsid w:val="007D07F2"/>
    <w:rsid w:val="007D0F5E"/>
    <w:rsid w:val="007D17C0"/>
    <w:rsid w:val="007D2343"/>
    <w:rsid w:val="007D351D"/>
    <w:rsid w:val="007D5DA8"/>
    <w:rsid w:val="007D72BA"/>
    <w:rsid w:val="007D786E"/>
    <w:rsid w:val="007E02D8"/>
    <w:rsid w:val="007E11A7"/>
    <w:rsid w:val="007E156C"/>
    <w:rsid w:val="007E2CEF"/>
    <w:rsid w:val="007E315C"/>
    <w:rsid w:val="007E348D"/>
    <w:rsid w:val="007E359B"/>
    <w:rsid w:val="007E3E79"/>
    <w:rsid w:val="007E4321"/>
    <w:rsid w:val="007E4953"/>
    <w:rsid w:val="007E5E10"/>
    <w:rsid w:val="007E66CE"/>
    <w:rsid w:val="007E67CC"/>
    <w:rsid w:val="007E7630"/>
    <w:rsid w:val="007E76F6"/>
    <w:rsid w:val="007F06FC"/>
    <w:rsid w:val="007F0E5E"/>
    <w:rsid w:val="007F1014"/>
    <w:rsid w:val="007F1397"/>
    <w:rsid w:val="007F14D4"/>
    <w:rsid w:val="007F165A"/>
    <w:rsid w:val="007F17BF"/>
    <w:rsid w:val="007F2498"/>
    <w:rsid w:val="007F27D8"/>
    <w:rsid w:val="007F2BDA"/>
    <w:rsid w:val="007F2E5B"/>
    <w:rsid w:val="007F30C5"/>
    <w:rsid w:val="007F435B"/>
    <w:rsid w:val="007F4723"/>
    <w:rsid w:val="007F5988"/>
    <w:rsid w:val="007F609B"/>
    <w:rsid w:val="007F6492"/>
    <w:rsid w:val="007F690C"/>
    <w:rsid w:val="007F698A"/>
    <w:rsid w:val="007F77FA"/>
    <w:rsid w:val="007F7EFD"/>
    <w:rsid w:val="0080043C"/>
    <w:rsid w:val="00800464"/>
    <w:rsid w:val="00800504"/>
    <w:rsid w:val="008023B1"/>
    <w:rsid w:val="008030D9"/>
    <w:rsid w:val="008031E1"/>
    <w:rsid w:val="00804E0B"/>
    <w:rsid w:val="00805726"/>
    <w:rsid w:val="0080582E"/>
    <w:rsid w:val="00807330"/>
    <w:rsid w:val="00807584"/>
    <w:rsid w:val="00807B71"/>
    <w:rsid w:val="00810778"/>
    <w:rsid w:val="0081157D"/>
    <w:rsid w:val="00811E21"/>
    <w:rsid w:val="00812129"/>
    <w:rsid w:val="008125C7"/>
    <w:rsid w:val="00813A8D"/>
    <w:rsid w:val="0081440F"/>
    <w:rsid w:val="00814708"/>
    <w:rsid w:val="008159E0"/>
    <w:rsid w:val="00816157"/>
    <w:rsid w:val="0081630A"/>
    <w:rsid w:val="00816E4B"/>
    <w:rsid w:val="008176F8"/>
    <w:rsid w:val="00817E86"/>
    <w:rsid w:val="00820899"/>
    <w:rsid w:val="0082191E"/>
    <w:rsid w:val="00821EF7"/>
    <w:rsid w:val="0082260A"/>
    <w:rsid w:val="00823068"/>
    <w:rsid w:val="00823F3A"/>
    <w:rsid w:val="00824ED2"/>
    <w:rsid w:val="0082675F"/>
    <w:rsid w:val="00826999"/>
    <w:rsid w:val="00826A54"/>
    <w:rsid w:val="00826E83"/>
    <w:rsid w:val="00827512"/>
    <w:rsid w:val="00827C9F"/>
    <w:rsid w:val="008307F5"/>
    <w:rsid w:val="00830852"/>
    <w:rsid w:val="008323BF"/>
    <w:rsid w:val="00832835"/>
    <w:rsid w:val="00832EC4"/>
    <w:rsid w:val="00835475"/>
    <w:rsid w:val="00835E00"/>
    <w:rsid w:val="00835FA6"/>
    <w:rsid w:val="0083614F"/>
    <w:rsid w:val="0083630A"/>
    <w:rsid w:val="008365E2"/>
    <w:rsid w:val="00837FCF"/>
    <w:rsid w:val="00840683"/>
    <w:rsid w:val="008406EE"/>
    <w:rsid w:val="00841344"/>
    <w:rsid w:val="008415AA"/>
    <w:rsid w:val="0084164E"/>
    <w:rsid w:val="0084167A"/>
    <w:rsid w:val="00841B30"/>
    <w:rsid w:val="0084392B"/>
    <w:rsid w:val="0084431C"/>
    <w:rsid w:val="008445D7"/>
    <w:rsid w:val="00844AF3"/>
    <w:rsid w:val="0084541A"/>
    <w:rsid w:val="00845516"/>
    <w:rsid w:val="0084690F"/>
    <w:rsid w:val="00846CE8"/>
    <w:rsid w:val="00847334"/>
    <w:rsid w:val="00847772"/>
    <w:rsid w:val="00847B07"/>
    <w:rsid w:val="00850EBE"/>
    <w:rsid w:val="00850FB0"/>
    <w:rsid w:val="008510B0"/>
    <w:rsid w:val="00853725"/>
    <w:rsid w:val="008546B8"/>
    <w:rsid w:val="0085527F"/>
    <w:rsid w:val="0085548C"/>
    <w:rsid w:val="0085553C"/>
    <w:rsid w:val="00855893"/>
    <w:rsid w:val="00855C6B"/>
    <w:rsid w:val="00855F99"/>
    <w:rsid w:val="00856F2A"/>
    <w:rsid w:val="00857D42"/>
    <w:rsid w:val="00857D92"/>
    <w:rsid w:val="00861A70"/>
    <w:rsid w:val="00862106"/>
    <w:rsid w:val="0086284B"/>
    <w:rsid w:val="00863CAD"/>
    <w:rsid w:val="008653ED"/>
    <w:rsid w:val="00865BFD"/>
    <w:rsid w:val="00865D6E"/>
    <w:rsid w:val="00866953"/>
    <w:rsid w:val="00867065"/>
    <w:rsid w:val="008673DB"/>
    <w:rsid w:val="0086746B"/>
    <w:rsid w:val="00867664"/>
    <w:rsid w:val="008714F7"/>
    <w:rsid w:val="0087218C"/>
    <w:rsid w:val="008722B7"/>
    <w:rsid w:val="0087485B"/>
    <w:rsid w:val="00874D9B"/>
    <w:rsid w:val="0087544C"/>
    <w:rsid w:val="00875548"/>
    <w:rsid w:val="0087648E"/>
    <w:rsid w:val="00880813"/>
    <w:rsid w:val="00880861"/>
    <w:rsid w:val="00880C67"/>
    <w:rsid w:val="0088159C"/>
    <w:rsid w:val="0088190F"/>
    <w:rsid w:val="00881E8A"/>
    <w:rsid w:val="0088232A"/>
    <w:rsid w:val="00882D06"/>
    <w:rsid w:val="00883163"/>
    <w:rsid w:val="00883EC5"/>
    <w:rsid w:val="00884184"/>
    <w:rsid w:val="00884E8A"/>
    <w:rsid w:val="0088638A"/>
    <w:rsid w:val="0088661E"/>
    <w:rsid w:val="008876C2"/>
    <w:rsid w:val="00891486"/>
    <w:rsid w:val="00892484"/>
    <w:rsid w:val="0089290E"/>
    <w:rsid w:val="00892968"/>
    <w:rsid w:val="00893204"/>
    <w:rsid w:val="00894633"/>
    <w:rsid w:val="00894690"/>
    <w:rsid w:val="008958B7"/>
    <w:rsid w:val="008959D8"/>
    <w:rsid w:val="00895BE2"/>
    <w:rsid w:val="00895D61"/>
    <w:rsid w:val="008962ED"/>
    <w:rsid w:val="00897B9F"/>
    <w:rsid w:val="008A051A"/>
    <w:rsid w:val="008A0AE8"/>
    <w:rsid w:val="008A1278"/>
    <w:rsid w:val="008A1AF1"/>
    <w:rsid w:val="008A33E0"/>
    <w:rsid w:val="008A3B40"/>
    <w:rsid w:val="008A42D6"/>
    <w:rsid w:val="008A4379"/>
    <w:rsid w:val="008A46F4"/>
    <w:rsid w:val="008A52A3"/>
    <w:rsid w:val="008A54D1"/>
    <w:rsid w:val="008A5AD7"/>
    <w:rsid w:val="008A646F"/>
    <w:rsid w:val="008A6652"/>
    <w:rsid w:val="008A6890"/>
    <w:rsid w:val="008A718E"/>
    <w:rsid w:val="008B0D0E"/>
    <w:rsid w:val="008B0EE7"/>
    <w:rsid w:val="008B1097"/>
    <w:rsid w:val="008B1A33"/>
    <w:rsid w:val="008B2806"/>
    <w:rsid w:val="008B2F8E"/>
    <w:rsid w:val="008B3EA2"/>
    <w:rsid w:val="008B437D"/>
    <w:rsid w:val="008B4DA0"/>
    <w:rsid w:val="008B5273"/>
    <w:rsid w:val="008B5430"/>
    <w:rsid w:val="008B5533"/>
    <w:rsid w:val="008B637F"/>
    <w:rsid w:val="008B7271"/>
    <w:rsid w:val="008C071C"/>
    <w:rsid w:val="008C0799"/>
    <w:rsid w:val="008C0A38"/>
    <w:rsid w:val="008C0C31"/>
    <w:rsid w:val="008C24A8"/>
    <w:rsid w:val="008C2590"/>
    <w:rsid w:val="008C2827"/>
    <w:rsid w:val="008C3BCA"/>
    <w:rsid w:val="008C3C0E"/>
    <w:rsid w:val="008C3DF5"/>
    <w:rsid w:val="008C499E"/>
    <w:rsid w:val="008C4E9D"/>
    <w:rsid w:val="008C5021"/>
    <w:rsid w:val="008C5B36"/>
    <w:rsid w:val="008C6A90"/>
    <w:rsid w:val="008C6CFC"/>
    <w:rsid w:val="008C72A2"/>
    <w:rsid w:val="008C72B9"/>
    <w:rsid w:val="008D0551"/>
    <w:rsid w:val="008D0800"/>
    <w:rsid w:val="008D098D"/>
    <w:rsid w:val="008D0F72"/>
    <w:rsid w:val="008D2B3C"/>
    <w:rsid w:val="008D3152"/>
    <w:rsid w:val="008D3789"/>
    <w:rsid w:val="008D3A74"/>
    <w:rsid w:val="008D6B79"/>
    <w:rsid w:val="008D6D25"/>
    <w:rsid w:val="008D742B"/>
    <w:rsid w:val="008E0405"/>
    <w:rsid w:val="008E1020"/>
    <w:rsid w:val="008E113A"/>
    <w:rsid w:val="008E1189"/>
    <w:rsid w:val="008E178D"/>
    <w:rsid w:val="008E1B57"/>
    <w:rsid w:val="008E1E6C"/>
    <w:rsid w:val="008E2922"/>
    <w:rsid w:val="008E2A8C"/>
    <w:rsid w:val="008E4571"/>
    <w:rsid w:val="008E4947"/>
    <w:rsid w:val="008E4FB6"/>
    <w:rsid w:val="008E60B0"/>
    <w:rsid w:val="008E7E92"/>
    <w:rsid w:val="008E7F88"/>
    <w:rsid w:val="008F105C"/>
    <w:rsid w:val="008F1884"/>
    <w:rsid w:val="008F1E07"/>
    <w:rsid w:val="008F2A17"/>
    <w:rsid w:val="008F2EB2"/>
    <w:rsid w:val="008F3BA9"/>
    <w:rsid w:val="008F3D90"/>
    <w:rsid w:val="008F6723"/>
    <w:rsid w:val="008F6DF2"/>
    <w:rsid w:val="008F706B"/>
    <w:rsid w:val="008F737E"/>
    <w:rsid w:val="00901BA0"/>
    <w:rsid w:val="00901BFC"/>
    <w:rsid w:val="009027AF"/>
    <w:rsid w:val="009033FC"/>
    <w:rsid w:val="0090416B"/>
    <w:rsid w:val="00904673"/>
    <w:rsid w:val="009054FA"/>
    <w:rsid w:val="00905CB2"/>
    <w:rsid w:val="00910323"/>
    <w:rsid w:val="00911A08"/>
    <w:rsid w:val="00912959"/>
    <w:rsid w:val="00912CF1"/>
    <w:rsid w:val="00913AD5"/>
    <w:rsid w:val="0091455D"/>
    <w:rsid w:val="0091469C"/>
    <w:rsid w:val="00914903"/>
    <w:rsid w:val="0091601F"/>
    <w:rsid w:val="009169FA"/>
    <w:rsid w:val="00916A6A"/>
    <w:rsid w:val="00917609"/>
    <w:rsid w:val="00917B31"/>
    <w:rsid w:val="00917E47"/>
    <w:rsid w:val="00920F79"/>
    <w:rsid w:val="00921F09"/>
    <w:rsid w:val="00922F42"/>
    <w:rsid w:val="00922FEC"/>
    <w:rsid w:val="00923BD2"/>
    <w:rsid w:val="0092501C"/>
    <w:rsid w:val="0092526D"/>
    <w:rsid w:val="009253D6"/>
    <w:rsid w:val="0092684C"/>
    <w:rsid w:val="00926F17"/>
    <w:rsid w:val="00926F67"/>
    <w:rsid w:val="0092710A"/>
    <w:rsid w:val="0092721E"/>
    <w:rsid w:val="00931A80"/>
    <w:rsid w:val="00932B30"/>
    <w:rsid w:val="00932F1F"/>
    <w:rsid w:val="00932F3D"/>
    <w:rsid w:val="00932FA2"/>
    <w:rsid w:val="00933C43"/>
    <w:rsid w:val="0093576B"/>
    <w:rsid w:val="00935908"/>
    <w:rsid w:val="009361EB"/>
    <w:rsid w:val="0093763F"/>
    <w:rsid w:val="00937D5D"/>
    <w:rsid w:val="00940943"/>
    <w:rsid w:val="00940969"/>
    <w:rsid w:val="00940B51"/>
    <w:rsid w:val="0094111A"/>
    <w:rsid w:val="00942A5A"/>
    <w:rsid w:val="00942E89"/>
    <w:rsid w:val="0094309C"/>
    <w:rsid w:val="00943876"/>
    <w:rsid w:val="00943D80"/>
    <w:rsid w:val="00943E97"/>
    <w:rsid w:val="00945824"/>
    <w:rsid w:val="00945B95"/>
    <w:rsid w:val="00945BC4"/>
    <w:rsid w:val="00945F83"/>
    <w:rsid w:val="00945F96"/>
    <w:rsid w:val="0094696D"/>
    <w:rsid w:val="00946BF2"/>
    <w:rsid w:val="00946C44"/>
    <w:rsid w:val="009507D4"/>
    <w:rsid w:val="00950FBB"/>
    <w:rsid w:val="0095155D"/>
    <w:rsid w:val="009515A8"/>
    <w:rsid w:val="00952CD7"/>
    <w:rsid w:val="0095383D"/>
    <w:rsid w:val="00953856"/>
    <w:rsid w:val="00953DC4"/>
    <w:rsid w:val="00954308"/>
    <w:rsid w:val="00954FEB"/>
    <w:rsid w:val="00956CF8"/>
    <w:rsid w:val="0095700E"/>
    <w:rsid w:val="009578E1"/>
    <w:rsid w:val="00957D5C"/>
    <w:rsid w:val="00960247"/>
    <w:rsid w:val="009621DA"/>
    <w:rsid w:val="00962D6E"/>
    <w:rsid w:val="0096329C"/>
    <w:rsid w:val="0096534D"/>
    <w:rsid w:val="00965DAA"/>
    <w:rsid w:val="009660E0"/>
    <w:rsid w:val="00966A25"/>
    <w:rsid w:val="00970010"/>
    <w:rsid w:val="0097031F"/>
    <w:rsid w:val="00970A9E"/>
    <w:rsid w:val="0097174A"/>
    <w:rsid w:val="00971D84"/>
    <w:rsid w:val="00972E7F"/>
    <w:rsid w:val="009737E4"/>
    <w:rsid w:val="009745B8"/>
    <w:rsid w:val="00975217"/>
    <w:rsid w:val="0097533D"/>
    <w:rsid w:val="00975AFB"/>
    <w:rsid w:val="00975E55"/>
    <w:rsid w:val="0097609C"/>
    <w:rsid w:val="00976113"/>
    <w:rsid w:val="00976874"/>
    <w:rsid w:val="0097750C"/>
    <w:rsid w:val="00977BFA"/>
    <w:rsid w:val="00977F64"/>
    <w:rsid w:val="00980C74"/>
    <w:rsid w:val="00982129"/>
    <w:rsid w:val="0098352D"/>
    <w:rsid w:val="00983FED"/>
    <w:rsid w:val="0098423E"/>
    <w:rsid w:val="0098511C"/>
    <w:rsid w:val="00985555"/>
    <w:rsid w:val="00986AEC"/>
    <w:rsid w:val="00987FEC"/>
    <w:rsid w:val="00990429"/>
    <w:rsid w:val="00990B82"/>
    <w:rsid w:val="00990C1C"/>
    <w:rsid w:val="0099171F"/>
    <w:rsid w:val="00991773"/>
    <w:rsid w:val="00991939"/>
    <w:rsid w:val="00991ACF"/>
    <w:rsid w:val="009927A3"/>
    <w:rsid w:val="0099287A"/>
    <w:rsid w:val="009933D9"/>
    <w:rsid w:val="00993579"/>
    <w:rsid w:val="00993A0F"/>
    <w:rsid w:val="00993CBE"/>
    <w:rsid w:val="0099704A"/>
    <w:rsid w:val="00997927"/>
    <w:rsid w:val="009A08BB"/>
    <w:rsid w:val="009A337D"/>
    <w:rsid w:val="009A415B"/>
    <w:rsid w:val="009A54A8"/>
    <w:rsid w:val="009A5606"/>
    <w:rsid w:val="009A5D20"/>
    <w:rsid w:val="009A62C6"/>
    <w:rsid w:val="009A630F"/>
    <w:rsid w:val="009A6502"/>
    <w:rsid w:val="009A6914"/>
    <w:rsid w:val="009A781C"/>
    <w:rsid w:val="009B0FBB"/>
    <w:rsid w:val="009B166F"/>
    <w:rsid w:val="009B27D3"/>
    <w:rsid w:val="009B2EC5"/>
    <w:rsid w:val="009B3293"/>
    <w:rsid w:val="009B3841"/>
    <w:rsid w:val="009B3DEE"/>
    <w:rsid w:val="009B4511"/>
    <w:rsid w:val="009B5318"/>
    <w:rsid w:val="009B5DD1"/>
    <w:rsid w:val="009B6720"/>
    <w:rsid w:val="009B6985"/>
    <w:rsid w:val="009B6A9E"/>
    <w:rsid w:val="009B79AC"/>
    <w:rsid w:val="009B7BE8"/>
    <w:rsid w:val="009C0890"/>
    <w:rsid w:val="009C0DCF"/>
    <w:rsid w:val="009C15F6"/>
    <w:rsid w:val="009C19ED"/>
    <w:rsid w:val="009C2C17"/>
    <w:rsid w:val="009C35D9"/>
    <w:rsid w:val="009C3CFE"/>
    <w:rsid w:val="009C40E6"/>
    <w:rsid w:val="009C45A9"/>
    <w:rsid w:val="009C48E2"/>
    <w:rsid w:val="009C5636"/>
    <w:rsid w:val="009C5989"/>
    <w:rsid w:val="009C69B9"/>
    <w:rsid w:val="009C6AB2"/>
    <w:rsid w:val="009C7A54"/>
    <w:rsid w:val="009D0410"/>
    <w:rsid w:val="009D1B3D"/>
    <w:rsid w:val="009D2CFF"/>
    <w:rsid w:val="009D34BA"/>
    <w:rsid w:val="009D3B80"/>
    <w:rsid w:val="009D3CAA"/>
    <w:rsid w:val="009D4A82"/>
    <w:rsid w:val="009D4B28"/>
    <w:rsid w:val="009D571B"/>
    <w:rsid w:val="009D67A4"/>
    <w:rsid w:val="009E1F41"/>
    <w:rsid w:val="009E2432"/>
    <w:rsid w:val="009E28B5"/>
    <w:rsid w:val="009E34B3"/>
    <w:rsid w:val="009E3FFF"/>
    <w:rsid w:val="009E418B"/>
    <w:rsid w:val="009E46B5"/>
    <w:rsid w:val="009E52A7"/>
    <w:rsid w:val="009E5524"/>
    <w:rsid w:val="009E55F7"/>
    <w:rsid w:val="009E5FA8"/>
    <w:rsid w:val="009E6A6A"/>
    <w:rsid w:val="009E75F2"/>
    <w:rsid w:val="009E78D5"/>
    <w:rsid w:val="009E78FB"/>
    <w:rsid w:val="009E7C3C"/>
    <w:rsid w:val="009E7EFF"/>
    <w:rsid w:val="009F01E5"/>
    <w:rsid w:val="009F1167"/>
    <w:rsid w:val="009F11A5"/>
    <w:rsid w:val="009F14CE"/>
    <w:rsid w:val="009F16B2"/>
    <w:rsid w:val="009F185D"/>
    <w:rsid w:val="009F18C5"/>
    <w:rsid w:val="009F1C68"/>
    <w:rsid w:val="009F2391"/>
    <w:rsid w:val="009F3518"/>
    <w:rsid w:val="009F3FD0"/>
    <w:rsid w:val="009F4183"/>
    <w:rsid w:val="009F53D8"/>
    <w:rsid w:val="009F546E"/>
    <w:rsid w:val="009F5D0F"/>
    <w:rsid w:val="009F5E00"/>
    <w:rsid w:val="009F6069"/>
    <w:rsid w:val="009F6A19"/>
    <w:rsid w:val="009F6FE2"/>
    <w:rsid w:val="009F7051"/>
    <w:rsid w:val="00A00158"/>
    <w:rsid w:val="00A011CD"/>
    <w:rsid w:val="00A01774"/>
    <w:rsid w:val="00A01CBA"/>
    <w:rsid w:val="00A0213A"/>
    <w:rsid w:val="00A0302B"/>
    <w:rsid w:val="00A03275"/>
    <w:rsid w:val="00A0410C"/>
    <w:rsid w:val="00A046E6"/>
    <w:rsid w:val="00A0478D"/>
    <w:rsid w:val="00A05EFF"/>
    <w:rsid w:val="00A0621D"/>
    <w:rsid w:val="00A063DD"/>
    <w:rsid w:val="00A06A6D"/>
    <w:rsid w:val="00A07B6D"/>
    <w:rsid w:val="00A07BFD"/>
    <w:rsid w:val="00A102AD"/>
    <w:rsid w:val="00A1093C"/>
    <w:rsid w:val="00A11C38"/>
    <w:rsid w:val="00A12941"/>
    <w:rsid w:val="00A12DE6"/>
    <w:rsid w:val="00A137A4"/>
    <w:rsid w:val="00A138C0"/>
    <w:rsid w:val="00A13C3D"/>
    <w:rsid w:val="00A1455D"/>
    <w:rsid w:val="00A14AF8"/>
    <w:rsid w:val="00A14B7F"/>
    <w:rsid w:val="00A15CAC"/>
    <w:rsid w:val="00A15D08"/>
    <w:rsid w:val="00A15EA7"/>
    <w:rsid w:val="00A164DD"/>
    <w:rsid w:val="00A16D33"/>
    <w:rsid w:val="00A171FB"/>
    <w:rsid w:val="00A17329"/>
    <w:rsid w:val="00A17681"/>
    <w:rsid w:val="00A17BB8"/>
    <w:rsid w:val="00A20E84"/>
    <w:rsid w:val="00A21DC1"/>
    <w:rsid w:val="00A220FA"/>
    <w:rsid w:val="00A23916"/>
    <w:rsid w:val="00A23CED"/>
    <w:rsid w:val="00A24163"/>
    <w:rsid w:val="00A24E3E"/>
    <w:rsid w:val="00A2528C"/>
    <w:rsid w:val="00A25D28"/>
    <w:rsid w:val="00A26494"/>
    <w:rsid w:val="00A267BE"/>
    <w:rsid w:val="00A26A05"/>
    <w:rsid w:val="00A26ED7"/>
    <w:rsid w:val="00A2721E"/>
    <w:rsid w:val="00A274B6"/>
    <w:rsid w:val="00A27600"/>
    <w:rsid w:val="00A276AE"/>
    <w:rsid w:val="00A278DE"/>
    <w:rsid w:val="00A27D06"/>
    <w:rsid w:val="00A30A95"/>
    <w:rsid w:val="00A32BC0"/>
    <w:rsid w:val="00A32F90"/>
    <w:rsid w:val="00A336E0"/>
    <w:rsid w:val="00A354A5"/>
    <w:rsid w:val="00A356AA"/>
    <w:rsid w:val="00A36183"/>
    <w:rsid w:val="00A379E7"/>
    <w:rsid w:val="00A41947"/>
    <w:rsid w:val="00A41E2B"/>
    <w:rsid w:val="00A42F68"/>
    <w:rsid w:val="00A430A3"/>
    <w:rsid w:val="00A43872"/>
    <w:rsid w:val="00A43938"/>
    <w:rsid w:val="00A43B3B"/>
    <w:rsid w:val="00A44AD4"/>
    <w:rsid w:val="00A45A5E"/>
    <w:rsid w:val="00A45A71"/>
    <w:rsid w:val="00A469C7"/>
    <w:rsid w:val="00A474FD"/>
    <w:rsid w:val="00A47928"/>
    <w:rsid w:val="00A5002F"/>
    <w:rsid w:val="00A5048C"/>
    <w:rsid w:val="00A50ADC"/>
    <w:rsid w:val="00A511BD"/>
    <w:rsid w:val="00A519DF"/>
    <w:rsid w:val="00A5261B"/>
    <w:rsid w:val="00A52E52"/>
    <w:rsid w:val="00A5331C"/>
    <w:rsid w:val="00A54045"/>
    <w:rsid w:val="00A543B5"/>
    <w:rsid w:val="00A5471A"/>
    <w:rsid w:val="00A5637D"/>
    <w:rsid w:val="00A5648C"/>
    <w:rsid w:val="00A56D4C"/>
    <w:rsid w:val="00A574FC"/>
    <w:rsid w:val="00A576E5"/>
    <w:rsid w:val="00A6037E"/>
    <w:rsid w:val="00A63741"/>
    <w:rsid w:val="00A63BAB"/>
    <w:rsid w:val="00A64F97"/>
    <w:rsid w:val="00A6524E"/>
    <w:rsid w:val="00A65723"/>
    <w:rsid w:val="00A65C87"/>
    <w:rsid w:val="00A65EEE"/>
    <w:rsid w:val="00A66587"/>
    <w:rsid w:val="00A6660D"/>
    <w:rsid w:val="00A70495"/>
    <w:rsid w:val="00A70508"/>
    <w:rsid w:val="00A709B4"/>
    <w:rsid w:val="00A7103B"/>
    <w:rsid w:val="00A7182E"/>
    <w:rsid w:val="00A71966"/>
    <w:rsid w:val="00A71A62"/>
    <w:rsid w:val="00A72630"/>
    <w:rsid w:val="00A7363C"/>
    <w:rsid w:val="00A73A9B"/>
    <w:rsid w:val="00A73BED"/>
    <w:rsid w:val="00A743F1"/>
    <w:rsid w:val="00A74F80"/>
    <w:rsid w:val="00A757C9"/>
    <w:rsid w:val="00A75ABD"/>
    <w:rsid w:val="00A75CF3"/>
    <w:rsid w:val="00A7640E"/>
    <w:rsid w:val="00A777C7"/>
    <w:rsid w:val="00A77AF6"/>
    <w:rsid w:val="00A813B2"/>
    <w:rsid w:val="00A819CA"/>
    <w:rsid w:val="00A828DB"/>
    <w:rsid w:val="00A82F56"/>
    <w:rsid w:val="00A83FD6"/>
    <w:rsid w:val="00A8422E"/>
    <w:rsid w:val="00A84831"/>
    <w:rsid w:val="00A84884"/>
    <w:rsid w:val="00A84E11"/>
    <w:rsid w:val="00A854F7"/>
    <w:rsid w:val="00A86554"/>
    <w:rsid w:val="00A8691B"/>
    <w:rsid w:val="00A87E0A"/>
    <w:rsid w:val="00A90466"/>
    <w:rsid w:val="00A90A57"/>
    <w:rsid w:val="00A91FC7"/>
    <w:rsid w:val="00A92437"/>
    <w:rsid w:val="00A92976"/>
    <w:rsid w:val="00A93464"/>
    <w:rsid w:val="00A9349A"/>
    <w:rsid w:val="00A93643"/>
    <w:rsid w:val="00A94347"/>
    <w:rsid w:val="00A944EB"/>
    <w:rsid w:val="00A94A64"/>
    <w:rsid w:val="00A95530"/>
    <w:rsid w:val="00A965E9"/>
    <w:rsid w:val="00A9747B"/>
    <w:rsid w:val="00A9786B"/>
    <w:rsid w:val="00AA0039"/>
    <w:rsid w:val="00AA0587"/>
    <w:rsid w:val="00AA1E92"/>
    <w:rsid w:val="00AA2949"/>
    <w:rsid w:val="00AA2B72"/>
    <w:rsid w:val="00AA2C17"/>
    <w:rsid w:val="00AA5CD1"/>
    <w:rsid w:val="00AA5E34"/>
    <w:rsid w:val="00AA62EF"/>
    <w:rsid w:val="00AA6698"/>
    <w:rsid w:val="00AA686F"/>
    <w:rsid w:val="00AA761E"/>
    <w:rsid w:val="00AA7CFF"/>
    <w:rsid w:val="00AB0E7F"/>
    <w:rsid w:val="00AB0F6A"/>
    <w:rsid w:val="00AB1142"/>
    <w:rsid w:val="00AB1284"/>
    <w:rsid w:val="00AB203F"/>
    <w:rsid w:val="00AB241B"/>
    <w:rsid w:val="00AB3BD9"/>
    <w:rsid w:val="00AB3EA6"/>
    <w:rsid w:val="00AB43F2"/>
    <w:rsid w:val="00AB4BD7"/>
    <w:rsid w:val="00AB50CF"/>
    <w:rsid w:val="00AB6BB4"/>
    <w:rsid w:val="00AB6E5A"/>
    <w:rsid w:val="00AB73A7"/>
    <w:rsid w:val="00AB7C9D"/>
    <w:rsid w:val="00AC0692"/>
    <w:rsid w:val="00AC093D"/>
    <w:rsid w:val="00AC0D3B"/>
    <w:rsid w:val="00AC11D1"/>
    <w:rsid w:val="00AC11DB"/>
    <w:rsid w:val="00AC3735"/>
    <w:rsid w:val="00AC403F"/>
    <w:rsid w:val="00AC4D90"/>
    <w:rsid w:val="00AC4E83"/>
    <w:rsid w:val="00AC5C09"/>
    <w:rsid w:val="00AC60AF"/>
    <w:rsid w:val="00AC640A"/>
    <w:rsid w:val="00AC68C7"/>
    <w:rsid w:val="00AC6B5B"/>
    <w:rsid w:val="00AC6C24"/>
    <w:rsid w:val="00AC6F5B"/>
    <w:rsid w:val="00AC7362"/>
    <w:rsid w:val="00AC75CD"/>
    <w:rsid w:val="00AC7B8F"/>
    <w:rsid w:val="00AC7E29"/>
    <w:rsid w:val="00AD0106"/>
    <w:rsid w:val="00AD0180"/>
    <w:rsid w:val="00AD0A3A"/>
    <w:rsid w:val="00AD1790"/>
    <w:rsid w:val="00AD19A1"/>
    <w:rsid w:val="00AD1D64"/>
    <w:rsid w:val="00AD2418"/>
    <w:rsid w:val="00AD253B"/>
    <w:rsid w:val="00AD3444"/>
    <w:rsid w:val="00AD45EF"/>
    <w:rsid w:val="00AD495C"/>
    <w:rsid w:val="00AD4CC8"/>
    <w:rsid w:val="00AD5047"/>
    <w:rsid w:val="00AD54B6"/>
    <w:rsid w:val="00AD586C"/>
    <w:rsid w:val="00AD59D4"/>
    <w:rsid w:val="00AD5AFD"/>
    <w:rsid w:val="00AD5B6A"/>
    <w:rsid w:val="00AD5E45"/>
    <w:rsid w:val="00AD62AC"/>
    <w:rsid w:val="00AD6B3D"/>
    <w:rsid w:val="00AD732A"/>
    <w:rsid w:val="00AD7A21"/>
    <w:rsid w:val="00AE0D13"/>
    <w:rsid w:val="00AE0E97"/>
    <w:rsid w:val="00AE286F"/>
    <w:rsid w:val="00AE2DE4"/>
    <w:rsid w:val="00AE3D2F"/>
    <w:rsid w:val="00AE3E66"/>
    <w:rsid w:val="00AE5977"/>
    <w:rsid w:val="00AE6660"/>
    <w:rsid w:val="00AF00BD"/>
    <w:rsid w:val="00AF07EC"/>
    <w:rsid w:val="00AF0F28"/>
    <w:rsid w:val="00AF100B"/>
    <w:rsid w:val="00AF11B0"/>
    <w:rsid w:val="00AF20C8"/>
    <w:rsid w:val="00AF2B18"/>
    <w:rsid w:val="00AF2B99"/>
    <w:rsid w:val="00AF2D33"/>
    <w:rsid w:val="00AF395F"/>
    <w:rsid w:val="00AF45C0"/>
    <w:rsid w:val="00AF4A9F"/>
    <w:rsid w:val="00AF4F05"/>
    <w:rsid w:val="00AF56F3"/>
    <w:rsid w:val="00AF765C"/>
    <w:rsid w:val="00B000EB"/>
    <w:rsid w:val="00B00181"/>
    <w:rsid w:val="00B004A7"/>
    <w:rsid w:val="00B0065E"/>
    <w:rsid w:val="00B010DA"/>
    <w:rsid w:val="00B01D0F"/>
    <w:rsid w:val="00B024C1"/>
    <w:rsid w:val="00B02AE8"/>
    <w:rsid w:val="00B030CC"/>
    <w:rsid w:val="00B03352"/>
    <w:rsid w:val="00B0395D"/>
    <w:rsid w:val="00B03D31"/>
    <w:rsid w:val="00B04299"/>
    <w:rsid w:val="00B04FA8"/>
    <w:rsid w:val="00B0623E"/>
    <w:rsid w:val="00B06394"/>
    <w:rsid w:val="00B07415"/>
    <w:rsid w:val="00B07715"/>
    <w:rsid w:val="00B1057E"/>
    <w:rsid w:val="00B11117"/>
    <w:rsid w:val="00B1116F"/>
    <w:rsid w:val="00B12D96"/>
    <w:rsid w:val="00B12FDE"/>
    <w:rsid w:val="00B1334C"/>
    <w:rsid w:val="00B1570E"/>
    <w:rsid w:val="00B16118"/>
    <w:rsid w:val="00B17A59"/>
    <w:rsid w:val="00B20BF2"/>
    <w:rsid w:val="00B22B9E"/>
    <w:rsid w:val="00B233CA"/>
    <w:rsid w:val="00B236A6"/>
    <w:rsid w:val="00B23837"/>
    <w:rsid w:val="00B23F5D"/>
    <w:rsid w:val="00B24091"/>
    <w:rsid w:val="00B2473A"/>
    <w:rsid w:val="00B24CDD"/>
    <w:rsid w:val="00B25332"/>
    <w:rsid w:val="00B25F83"/>
    <w:rsid w:val="00B26411"/>
    <w:rsid w:val="00B2686C"/>
    <w:rsid w:val="00B31D23"/>
    <w:rsid w:val="00B334D9"/>
    <w:rsid w:val="00B37C85"/>
    <w:rsid w:val="00B4021E"/>
    <w:rsid w:val="00B4038B"/>
    <w:rsid w:val="00B40549"/>
    <w:rsid w:val="00B40D33"/>
    <w:rsid w:val="00B40D8B"/>
    <w:rsid w:val="00B41D45"/>
    <w:rsid w:val="00B421A6"/>
    <w:rsid w:val="00B42917"/>
    <w:rsid w:val="00B42942"/>
    <w:rsid w:val="00B4386B"/>
    <w:rsid w:val="00B44ABF"/>
    <w:rsid w:val="00B4528F"/>
    <w:rsid w:val="00B4661D"/>
    <w:rsid w:val="00B47675"/>
    <w:rsid w:val="00B47897"/>
    <w:rsid w:val="00B47B44"/>
    <w:rsid w:val="00B47D64"/>
    <w:rsid w:val="00B47DEC"/>
    <w:rsid w:val="00B50155"/>
    <w:rsid w:val="00B502CC"/>
    <w:rsid w:val="00B50445"/>
    <w:rsid w:val="00B508CE"/>
    <w:rsid w:val="00B5096A"/>
    <w:rsid w:val="00B50C0A"/>
    <w:rsid w:val="00B50DE2"/>
    <w:rsid w:val="00B51418"/>
    <w:rsid w:val="00B519B5"/>
    <w:rsid w:val="00B51E95"/>
    <w:rsid w:val="00B52266"/>
    <w:rsid w:val="00B52399"/>
    <w:rsid w:val="00B52A0A"/>
    <w:rsid w:val="00B53AB7"/>
    <w:rsid w:val="00B53B2B"/>
    <w:rsid w:val="00B53E71"/>
    <w:rsid w:val="00B54330"/>
    <w:rsid w:val="00B54389"/>
    <w:rsid w:val="00B55683"/>
    <w:rsid w:val="00B5646B"/>
    <w:rsid w:val="00B5697D"/>
    <w:rsid w:val="00B56AC8"/>
    <w:rsid w:val="00B572DA"/>
    <w:rsid w:val="00B57B44"/>
    <w:rsid w:val="00B57D27"/>
    <w:rsid w:val="00B60E64"/>
    <w:rsid w:val="00B61612"/>
    <w:rsid w:val="00B61E44"/>
    <w:rsid w:val="00B623C0"/>
    <w:rsid w:val="00B62D9F"/>
    <w:rsid w:val="00B63AED"/>
    <w:rsid w:val="00B64B79"/>
    <w:rsid w:val="00B654D7"/>
    <w:rsid w:val="00B664D3"/>
    <w:rsid w:val="00B6660B"/>
    <w:rsid w:val="00B67D39"/>
    <w:rsid w:val="00B700BC"/>
    <w:rsid w:val="00B707B7"/>
    <w:rsid w:val="00B70ACD"/>
    <w:rsid w:val="00B70B04"/>
    <w:rsid w:val="00B70BD3"/>
    <w:rsid w:val="00B71DA6"/>
    <w:rsid w:val="00B721B8"/>
    <w:rsid w:val="00B72805"/>
    <w:rsid w:val="00B73941"/>
    <w:rsid w:val="00B74143"/>
    <w:rsid w:val="00B742A2"/>
    <w:rsid w:val="00B74513"/>
    <w:rsid w:val="00B746BA"/>
    <w:rsid w:val="00B75C7C"/>
    <w:rsid w:val="00B76172"/>
    <w:rsid w:val="00B7656E"/>
    <w:rsid w:val="00B76F41"/>
    <w:rsid w:val="00B80F06"/>
    <w:rsid w:val="00B81238"/>
    <w:rsid w:val="00B8227B"/>
    <w:rsid w:val="00B830C6"/>
    <w:rsid w:val="00B83788"/>
    <w:rsid w:val="00B84D7A"/>
    <w:rsid w:val="00B85ABB"/>
    <w:rsid w:val="00B862E4"/>
    <w:rsid w:val="00B8713F"/>
    <w:rsid w:val="00B87C7B"/>
    <w:rsid w:val="00B901BB"/>
    <w:rsid w:val="00B91082"/>
    <w:rsid w:val="00B92881"/>
    <w:rsid w:val="00B92CA9"/>
    <w:rsid w:val="00B92FE1"/>
    <w:rsid w:val="00B93ADB"/>
    <w:rsid w:val="00B943B0"/>
    <w:rsid w:val="00B944CC"/>
    <w:rsid w:val="00B94780"/>
    <w:rsid w:val="00B94970"/>
    <w:rsid w:val="00B94DAF"/>
    <w:rsid w:val="00B96103"/>
    <w:rsid w:val="00B96274"/>
    <w:rsid w:val="00B977AE"/>
    <w:rsid w:val="00B97BEF"/>
    <w:rsid w:val="00BA0BF0"/>
    <w:rsid w:val="00BA13B3"/>
    <w:rsid w:val="00BA27BC"/>
    <w:rsid w:val="00BA3BF6"/>
    <w:rsid w:val="00BA4160"/>
    <w:rsid w:val="00BA450E"/>
    <w:rsid w:val="00BA4DB4"/>
    <w:rsid w:val="00BA58E7"/>
    <w:rsid w:val="00BA5922"/>
    <w:rsid w:val="00BA5E39"/>
    <w:rsid w:val="00BA65AF"/>
    <w:rsid w:val="00BA6798"/>
    <w:rsid w:val="00BA6F8C"/>
    <w:rsid w:val="00BA71C8"/>
    <w:rsid w:val="00BA764E"/>
    <w:rsid w:val="00BB059B"/>
    <w:rsid w:val="00BB0734"/>
    <w:rsid w:val="00BB0846"/>
    <w:rsid w:val="00BB091C"/>
    <w:rsid w:val="00BB0A84"/>
    <w:rsid w:val="00BB2F44"/>
    <w:rsid w:val="00BB3D95"/>
    <w:rsid w:val="00BB3E26"/>
    <w:rsid w:val="00BB66AB"/>
    <w:rsid w:val="00BB78C0"/>
    <w:rsid w:val="00BC1E83"/>
    <w:rsid w:val="00BC1EAB"/>
    <w:rsid w:val="00BC220D"/>
    <w:rsid w:val="00BC26B3"/>
    <w:rsid w:val="00BC2A55"/>
    <w:rsid w:val="00BC3F36"/>
    <w:rsid w:val="00BC3F4B"/>
    <w:rsid w:val="00BC41EA"/>
    <w:rsid w:val="00BC4437"/>
    <w:rsid w:val="00BC58C0"/>
    <w:rsid w:val="00BC627C"/>
    <w:rsid w:val="00BD026A"/>
    <w:rsid w:val="00BD0CD6"/>
    <w:rsid w:val="00BD0FB6"/>
    <w:rsid w:val="00BD105D"/>
    <w:rsid w:val="00BD1D4D"/>
    <w:rsid w:val="00BD3038"/>
    <w:rsid w:val="00BD3312"/>
    <w:rsid w:val="00BD3FDD"/>
    <w:rsid w:val="00BD5EF6"/>
    <w:rsid w:val="00BD60E7"/>
    <w:rsid w:val="00BD79EE"/>
    <w:rsid w:val="00BE0158"/>
    <w:rsid w:val="00BE0295"/>
    <w:rsid w:val="00BE106C"/>
    <w:rsid w:val="00BE182E"/>
    <w:rsid w:val="00BE2752"/>
    <w:rsid w:val="00BE2874"/>
    <w:rsid w:val="00BE3A36"/>
    <w:rsid w:val="00BE3FDA"/>
    <w:rsid w:val="00BE4898"/>
    <w:rsid w:val="00BE4AA6"/>
    <w:rsid w:val="00BE5224"/>
    <w:rsid w:val="00BE5B15"/>
    <w:rsid w:val="00BE5DF7"/>
    <w:rsid w:val="00BE633B"/>
    <w:rsid w:val="00BE6513"/>
    <w:rsid w:val="00BE66EF"/>
    <w:rsid w:val="00BE69CF"/>
    <w:rsid w:val="00BE6A7C"/>
    <w:rsid w:val="00BE6BEF"/>
    <w:rsid w:val="00BE7E35"/>
    <w:rsid w:val="00BF0E06"/>
    <w:rsid w:val="00BF1D42"/>
    <w:rsid w:val="00BF2057"/>
    <w:rsid w:val="00BF2C43"/>
    <w:rsid w:val="00BF3A0D"/>
    <w:rsid w:val="00BF3B51"/>
    <w:rsid w:val="00BF3E71"/>
    <w:rsid w:val="00BF43AD"/>
    <w:rsid w:val="00BF441D"/>
    <w:rsid w:val="00BF4662"/>
    <w:rsid w:val="00BF4FA3"/>
    <w:rsid w:val="00BF5A5A"/>
    <w:rsid w:val="00BF66AD"/>
    <w:rsid w:val="00BF6EFF"/>
    <w:rsid w:val="00BF7C6E"/>
    <w:rsid w:val="00BF7C84"/>
    <w:rsid w:val="00BF7D4C"/>
    <w:rsid w:val="00C004B6"/>
    <w:rsid w:val="00C00818"/>
    <w:rsid w:val="00C0240D"/>
    <w:rsid w:val="00C02909"/>
    <w:rsid w:val="00C03632"/>
    <w:rsid w:val="00C03C34"/>
    <w:rsid w:val="00C053D5"/>
    <w:rsid w:val="00C054E3"/>
    <w:rsid w:val="00C069AC"/>
    <w:rsid w:val="00C10BC3"/>
    <w:rsid w:val="00C11386"/>
    <w:rsid w:val="00C114B4"/>
    <w:rsid w:val="00C11884"/>
    <w:rsid w:val="00C11A7C"/>
    <w:rsid w:val="00C123A2"/>
    <w:rsid w:val="00C1260B"/>
    <w:rsid w:val="00C129EB"/>
    <w:rsid w:val="00C12EA0"/>
    <w:rsid w:val="00C12F79"/>
    <w:rsid w:val="00C13056"/>
    <w:rsid w:val="00C13212"/>
    <w:rsid w:val="00C141B9"/>
    <w:rsid w:val="00C14319"/>
    <w:rsid w:val="00C148DA"/>
    <w:rsid w:val="00C14D2F"/>
    <w:rsid w:val="00C14F0D"/>
    <w:rsid w:val="00C15CA9"/>
    <w:rsid w:val="00C16B32"/>
    <w:rsid w:val="00C16D26"/>
    <w:rsid w:val="00C16FA5"/>
    <w:rsid w:val="00C17102"/>
    <w:rsid w:val="00C17119"/>
    <w:rsid w:val="00C206A7"/>
    <w:rsid w:val="00C20FEC"/>
    <w:rsid w:val="00C21063"/>
    <w:rsid w:val="00C21872"/>
    <w:rsid w:val="00C21A4A"/>
    <w:rsid w:val="00C21A5A"/>
    <w:rsid w:val="00C22677"/>
    <w:rsid w:val="00C235CD"/>
    <w:rsid w:val="00C23CD7"/>
    <w:rsid w:val="00C2403B"/>
    <w:rsid w:val="00C306B1"/>
    <w:rsid w:val="00C3072C"/>
    <w:rsid w:val="00C309A7"/>
    <w:rsid w:val="00C30E01"/>
    <w:rsid w:val="00C315D6"/>
    <w:rsid w:val="00C31935"/>
    <w:rsid w:val="00C31FBE"/>
    <w:rsid w:val="00C32892"/>
    <w:rsid w:val="00C32BCF"/>
    <w:rsid w:val="00C32C23"/>
    <w:rsid w:val="00C3301E"/>
    <w:rsid w:val="00C33865"/>
    <w:rsid w:val="00C33870"/>
    <w:rsid w:val="00C33D67"/>
    <w:rsid w:val="00C342EE"/>
    <w:rsid w:val="00C3492F"/>
    <w:rsid w:val="00C34F47"/>
    <w:rsid w:val="00C363BE"/>
    <w:rsid w:val="00C36BB9"/>
    <w:rsid w:val="00C409E3"/>
    <w:rsid w:val="00C40C2B"/>
    <w:rsid w:val="00C40D78"/>
    <w:rsid w:val="00C4161A"/>
    <w:rsid w:val="00C4228D"/>
    <w:rsid w:val="00C42768"/>
    <w:rsid w:val="00C428F1"/>
    <w:rsid w:val="00C44E4B"/>
    <w:rsid w:val="00C451ED"/>
    <w:rsid w:val="00C47A95"/>
    <w:rsid w:val="00C50D9C"/>
    <w:rsid w:val="00C512AC"/>
    <w:rsid w:val="00C51D94"/>
    <w:rsid w:val="00C533C0"/>
    <w:rsid w:val="00C547DF"/>
    <w:rsid w:val="00C54B0E"/>
    <w:rsid w:val="00C54D3D"/>
    <w:rsid w:val="00C55DCD"/>
    <w:rsid w:val="00C560F4"/>
    <w:rsid w:val="00C567E9"/>
    <w:rsid w:val="00C56B00"/>
    <w:rsid w:val="00C56DBA"/>
    <w:rsid w:val="00C60660"/>
    <w:rsid w:val="00C61111"/>
    <w:rsid w:val="00C62012"/>
    <w:rsid w:val="00C62336"/>
    <w:rsid w:val="00C631DE"/>
    <w:rsid w:val="00C63914"/>
    <w:rsid w:val="00C63F50"/>
    <w:rsid w:val="00C64A41"/>
    <w:rsid w:val="00C65610"/>
    <w:rsid w:val="00C66315"/>
    <w:rsid w:val="00C67202"/>
    <w:rsid w:val="00C674D2"/>
    <w:rsid w:val="00C70B10"/>
    <w:rsid w:val="00C70CF4"/>
    <w:rsid w:val="00C71398"/>
    <w:rsid w:val="00C716C3"/>
    <w:rsid w:val="00C718DD"/>
    <w:rsid w:val="00C72081"/>
    <w:rsid w:val="00C72938"/>
    <w:rsid w:val="00C737D5"/>
    <w:rsid w:val="00C73A6F"/>
    <w:rsid w:val="00C746B1"/>
    <w:rsid w:val="00C75221"/>
    <w:rsid w:val="00C75BE8"/>
    <w:rsid w:val="00C801E4"/>
    <w:rsid w:val="00C80EBA"/>
    <w:rsid w:val="00C83251"/>
    <w:rsid w:val="00C83CF6"/>
    <w:rsid w:val="00C84A64"/>
    <w:rsid w:val="00C8605F"/>
    <w:rsid w:val="00C862AA"/>
    <w:rsid w:val="00C8683D"/>
    <w:rsid w:val="00C86B7F"/>
    <w:rsid w:val="00C8762E"/>
    <w:rsid w:val="00C87810"/>
    <w:rsid w:val="00C87B71"/>
    <w:rsid w:val="00C900E1"/>
    <w:rsid w:val="00C9016F"/>
    <w:rsid w:val="00C90BA0"/>
    <w:rsid w:val="00C90DEF"/>
    <w:rsid w:val="00C915BE"/>
    <w:rsid w:val="00C91784"/>
    <w:rsid w:val="00C91A48"/>
    <w:rsid w:val="00C92739"/>
    <w:rsid w:val="00C92C1E"/>
    <w:rsid w:val="00C934DA"/>
    <w:rsid w:val="00C9438D"/>
    <w:rsid w:val="00C944D9"/>
    <w:rsid w:val="00C94A50"/>
    <w:rsid w:val="00C94D1C"/>
    <w:rsid w:val="00C950E9"/>
    <w:rsid w:val="00C95509"/>
    <w:rsid w:val="00C9622D"/>
    <w:rsid w:val="00C96876"/>
    <w:rsid w:val="00C971AD"/>
    <w:rsid w:val="00C97308"/>
    <w:rsid w:val="00CA0549"/>
    <w:rsid w:val="00CA0634"/>
    <w:rsid w:val="00CA0B78"/>
    <w:rsid w:val="00CA0EF1"/>
    <w:rsid w:val="00CA173D"/>
    <w:rsid w:val="00CA1C7E"/>
    <w:rsid w:val="00CA3063"/>
    <w:rsid w:val="00CA342B"/>
    <w:rsid w:val="00CA3478"/>
    <w:rsid w:val="00CA3500"/>
    <w:rsid w:val="00CA3BD2"/>
    <w:rsid w:val="00CA4D67"/>
    <w:rsid w:val="00CA5A70"/>
    <w:rsid w:val="00CA5C2B"/>
    <w:rsid w:val="00CA5FFB"/>
    <w:rsid w:val="00CA6E57"/>
    <w:rsid w:val="00CA7681"/>
    <w:rsid w:val="00CA7EA4"/>
    <w:rsid w:val="00CB1B7F"/>
    <w:rsid w:val="00CB1E9B"/>
    <w:rsid w:val="00CB3B9B"/>
    <w:rsid w:val="00CB4034"/>
    <w:rsid w:val="00CB4EF7"/>
    <w:rsid w:val="00CB51D3"/>
    <w:rsid w:val="00CB7362"/>
    <w:rsid w:val="00CB7407"/>
    <w:rsid w:val="00CB7BC1"/>
    <w:rsid w:val="00CB7FBE"/>
    <w:rsid w:val="00CC0113"/>
    <w:rsid w:val="00CC1778"/>
    <w:rsid w:val="00CC1EFC"/>
    <w:rsid w:val="00CC2EE8"/>
    <w:rsid w:val="00CC36FE"/>
    <w:rsid w:val="00CC3B5B"/>
    <w:rsid w:val="00CC44DD"/>
    <w:rsid w:val="00CC4912"/>
    <w:rsid w:val="00CC59B7"/>
    <w:rsid w:val="00CC5B7A"/>
    <w:rsid w:val="00CC5C80"/>
    <w:rsid w:val="00CC5D2F"/>
    <w:rsid w:val="00CC6673"/>
    <w:rsid w:val="00CC66C4"/>
    <w:rsid w:val="00CC7A86"/>
    <w:rsid w:val="00CD0E99"/>
    <w:rsid w:val="00CD17E3"/>
    <w:rsid w:val="00CD222A"/>
    <w:rsid w:val="00CD22C6"/>
    <w:rsid w:val="00CD2400"/>
    <w:rsid w:val="00CD2A74"/>
    <w:rsid w:val="00CD33C3"/>
    <w:rsid w:val="00CD33E9"/>
    <w:rsid w:val="00CD35E2"/>
    <w:rsid w:val="00CD36AC"/>
    <w:rsid w:val="00CD3A9D"/>
    <w:rsid w:val="00CD40D7"/>
    <w:rsid w:val="00CD4323"/>
    <w:rsid w:val="00CD4EC1"/>
    <w:rsid w:val="00CD5335"/>
    <w:rsid w:val="00CD56F0"/>
    <w:rsid w:val="00CD6AC8"/>
    <w:rsid w:val="00CD79E9"/>
    <w:rsid w:val="00CE03B7"/>
    <w:rsid w:val="00CE14D0"/>
    <w:rsid w:val="00CE18AE"/>
    <w:rsid w:val="00CE1966"/>
    <w:rsid w:val="00CE2BB7"/>
    <w:rsid w:val="00CE4F9F"/>
    <w:rsid w:val="00CE5333"/>
    <w:rsid w:val="00CE5D05"/>
    <w:rsid w:val="00CE609A"/>
    <w:rsid w:val="00CE7136"/>
    <w:rsid w:val="00CE73CE"/>
    <w:rsid w:val="00CE79BA"/>
    <w:rsid w:val="00CE7A80"/>
    <w:rsid w:val="00CF115E"/>
    <w:rsid w:val="00CF128C"/>
    <w:rsid w:val="00CF21C5"/>
    <w:rsid w:val="00CF3A87"/>
    <w:rsid w:val="00CF5BC6"/>
    <w:rsid w:val="00CF5D13"/>
    <w:rsid w:val="00CF6F29"/>
    <w:rsid w:val="00D000A9"/>
    <w:rsid w:val="00D002F6"/>
    <w:rsid w:val="00D01647"/>
    <w:rsid w:val="00D01B68"/>
    <w:rsid w:val="00D01B7B"/>
    <w:rsid w:val="00D027F3"/>
    <w:rsid w:val="00D030C3"/>
    <w:rsid w:val="00D03239"/>
    <w:rsid w:val="00D036B1"/>
    <w:rsid w:val="00D03DB1"/>
    <w:rsid w:val="00D04402"/>
    <w:rsid w:val="00D0460D"/>
    <w:rsid w:val="00D04AC0"/>
    <w:rsid w:val="00D05E33"/>
    <w:rsid w:val="00D06A1F"/>
    <w:rsid w:val="00D06B99"/>
    <w:rsid w:val="00D06D51"/>
    <w:rsid w:val="00D074C5"/>
    <w:rsid w:val="00D07825"/>
    <w:rsid w:val="00D07C0A"/>
    <w:rsid w:val="00D07F3F"/>
    <w:rsid w:val="00D10494"/>
    <w:rsid w:val="00D10786"/>
    <w:rsid w:val="00D11437"/>
    <w:rsid w:val="00D11514"/>
    <w:rsid w:val="00D12157"/>
    <w:rsid w:val="00D12743"/>
    <w:rsid w:val="00D12AB9"/>
    <w:rsid w:val="00D13245"/>
    <w:rsid w:val="00D13B33"/>
    <w:rsid w:val="00D13DAD"/>
    <w:rsid w:val="00D13DDE"/>
    <w:rsid w:val="00D144F7"/>
    <w:rsid w:val="00D147C6"/>
    <w:rsid w:val="00D15AD5"/>
    <w:rsid w:val="00D161B4"/>
    <w:rsid w:val="00D16B18"/>
    <w:rsid w:val="00D171EC"/>
    <w:rsid w:val="00D1781C"/>
    <w:rsid w:val="00D205C3"/>
    <w:rsid w:val="00D20928"/>
    <w:rsid w:val="00D216CA"/>
    <w:rsid w:val="00D21D24"/>
    <w:rsid w:val="00D21E9D"/>
    <w:rsid w:val="00D22200"/>
    <w:rsid w:val="00D22470"/>
    <w:rsid w:val="00D226FC"/>
    <w:rsid w:val="00D22852"/>
    <w:rsid w:val="00D22C58"/>
    <w:rsid w:val="00D23E41"/>
    <w:rsid w:val="00D240D0"/>
    <w:rsid w:val="00D263A9"/>
    <w:rsid w:val="00D26A26"/>
    <w:rsid w:val="00D26C97"/>
    <w:rsid w:val="00D27999"/>
    <w:rsid w:val="00D302D5"/>
    <w:rsid w:val="00D30B33"/>
    <w:rsid w:val="00D311D5"/>
    <w:rsid w:val="00D31CDD"/>
    <w:rsid w:val="00D31EC4"/>
    <w:rsid w:val="00D328E9"/>
    <w:rsid w:val="00D3333D"/>
    <w:rsid w:val="00D33A5C"/>
    <w:rsid w:val="00D33F77"/>
    <w:rsid w:val="00D34356"/>
    <w:rsid w:val="00D35932"/>
    <w:rsid w:val="00D35A35"/>
    <w:rsid w:val="00D363C1"/>
    <w:rsid w:val="00D36596"/>
    <w:rsid w:val="00D372AF"/>
    <w:rsid w:val="00D37BD4"/>
    <w:rsid w:val="00D40031"/>
    <w:rsid w:val="00D4023C"/>
    <w:rsid w:val="00D40D9F"/>
    <w:rsid w:val="00D41124"/>
    <w:rsid w:val="00D422E3"/>
    <w:rsid w:val="00D4254E"/>
    <w:rsid w:val="00D42689"/>
    <w:rsid w:val="00D429FD"/>
    <w:rsid w:val="00D43155"/>
    <w:rsid w:val="00D43653"/>
    <w:rsid w:val="00D438A5"/>
    <w:rsid w:val="00D43995"/>
    <w:rsid w:val="00D44065"/>
    <w:rsid w:val="00D44A17"/>
    <w:rsid w:val="00D457CE"/>
    <w:rsid w:val="00D45FF6"/>
    <w:rsid w:val="00D45FF9"/>
    <w:rsid w:val="00D4662D"/>
    <w:rsid w:val="00D46CBC"/>
    <w:rsid w:val="00D47AE5"/>
    <w:rsid w:val="00D50FAA"/>
    <w:rsid w:val="00D513A4"/>
    <w:rsid w:val="00D51499"/>
    <w:rsid w:val="00D51B32"/>
    <w:rsid w:val="00D51D5E"/>
    <w:rsid w:val="00D521D5"/>
    <w:rsid w:val="00D5280E"/>
    <w:rsid w:val="00D52B15"/>
    <w:rsid w:val="00D52C96"/>
    <w:rsid w:val="00D52CE8"/>
    <w:rsid w:val="00D52E22"/>
    <w:rsid w:val="00D534E4"/>
    <w:rsid w:val="00D5396F"/>
    <w:rsid w:val="00D54B15"/>
    <w:rsid w:val="00D54C74"/>
    <w:rsid w:val="00D54E2B"/>
    <w:rsid w:val="00D55532"/>
    <w:rsid w:val="00D55DF6"/>
    <w:rsid w:val="00D5690D"/>
    <w:rsid w:val="00D57020"/>
    <w:rsid w:val="00D573B5"/>
    <w:rsid w:val="00D5748E"/>
    <w:rsid w:val="00D5757F"/>
    <w:rsid w:val="00D6021B"/>
    <w:rsid w:val="00D609F7"/>
    <w:rsid w:val="00D60A0E"/>
    <w:rsid w:val="00D6109C"/>
    <w:rsid w:val="00D6173F"/>
    <w:rsid w:val="00D61B9D"/>
    <w:rsid w:val="00D6249A"/>
    <w:rsid w:val="00D626B8"/>
    <w:rsid w:val="00D6307C"/>
    <w:rsid w:val="00D63F68"/>
    <w:rsid w:val="00D647A9"/>
    <w:rsid w:val="00D64F67"/>
    <w:rsid w:val="00D66241"/>
    <w:rsid w:val="00D66300"/>
    <w:rsid w:val="00D67CBD"/>
    <w:rsid w:val="00D67F0E"/>
    <w:rsid w:val="00D71DDB"/>
    <w:rsid w:val="00D720B7"/>
    <w:rsid w:val="00D72684"/>
    <w:rsid w:val="00D73721"/>
    <w:rsid w:val="00D75244"/>
    <w:rsid w:val="00D761F6"/>
    <w:rsid w:val="00D762E6"/>
    <w:rsid w:val="00D76424"/>
    <w:rsid w:val="00D76638"/>
    <w:rsid w:val="00D77672"/>
    <w:rsid w:val="00D77F20"/>
    <w:rsid w:val="00D77FC1"/>
    <w:rsid w:val="00D80CE6"/>
    <w:rsid w:val="00D81427"/>
    <w:rsid w:val="00D817AA"/>
    <w:rsid w:val="00D82076"/>
    <w:rsid w:val="00D82BD9"/>
    <w:rsid w:val="00D82D33"/>
    <w:rsid w:val="00D82FBD"/>
    <w:rsid w:val="00D83B99"/>
    <w:rsid w:val="00D843D1"/>
    <w:rsid w:val="00D845F1"/>
    <w:rsid w:val="00D8544A"/>
    <w:rsid w:val="00D858D2"/>
    <w:rsid w:val="00D85969"/>
    <w:rsid w:val="00D869BC"/>
    <w:rsid w:val="00D8706A"/>
    <w:rsid w:val="00D87F3C"/>
    <w:rsid w:val="00D90E7E"/>
    <w:rsid w:val="00D91DF9"/>
    <w:rsid w:val="00D92A19"/>
    <w:rsid w:val="00D93333"/>
    <w:rsid w:val="00D93413"/>
    <w:rsid w:val="00D93698"/>
    <w:rsid w:val="00D93850"/>
    <w:rsid w:val="00D93C2F"/>
    <w:rsid w:val="00D9606D"/>
    <w:rsid w:val="00D964BD"/>
    <w:rsid w:val="00D96B76"/>
    <w:rsid w:val="00D97153"/>
    <w:rsid w:val="00DA05D8"/>
    <w:rsid w:val="00DA0EEF"/>
    <w:rsid w:val="00DA2987"/>
    <w:rsid w:val="00DA373A"/>
    <w:rsid w:val="00DA3A20"/>
    <w:rsid w:val="00DA57B7"/>
    <w:rsid w:val="00DA5935"/>
    <w:rsid w:val="00DA66B2"/>
    <w:rsid w:val="00DA6915"/>
    <w:rsid w:val="00DA727F"/>
    <w:rsid w:val="00DA7A33"/>
    <w:rsid w:val="00DB07E0"/>
    <w:rsid w:val="00DB0D78"/>
    <w:rsid w:val="00DB0F78"/>
    <w:rsid w:val="00DB1809"/>
    <w:rsid w:val="00DB1AD0"/>
    <w:rsid w:val="00DB25F1"/>
    <w:rsid w:val="00DB2894"/>
    <w:rsid w:val="00DB2A43"/>
    <w:rsid w:val="00DB37F7"/>
    <w:rsid w:val="00DB392E"/>
    <w:rsid w:val="00DB3A25"/>
    <w:rsid w:val="00DB3DF3"/>
    <w:rsid w:val="00DB4FAF"/>
    <w:rsid w:val="00DB5AAB"/>
    <w:rsid w:val="00DB6991"/>
    <w:rsid w:val="00DB6D85"/>
    <w:rsid w:val="00DB7831"/>
    <w:rsid w:val="00DB7CF2"/>
    <w:rsid w:val="00DC0AA9"/>
    <w:rsid w:val="00DC0D73"/>
    <w:rsid w:val="00DC1305"/>
    <w:rsid w:val="00DC136D"/>
    <w:rsid w:val="00DC1BCF"/>
    <w:rsid w:val="00DC336E"/>
    <w:rsid w:val="00DC347E"/>
    <w:rsid w:val="00DC3AD7"/>
    <w:rsid w:val="00DC42EC"/>
    <w:rsid w:val="00DC5D0B"/>
    <w:rsid w:val="00DC60F2"/>
    <w:rsid w:val="00DC656F"/>
    <w:rsid w:val="00DC6A9F"/>
    <w:rsid w:val="00DC7648"/>
    <w:rsid w:val="00DC7767"/>
    <w:rsid w:val="00DD0784"/>
    <w:rsid w:val="00DD0941"/>
    <w:rsid w:val="00DD0ABC"/>
    <w:rsid w:val="00DD0F6D"/>
    <w:rsid w:val="00DD165C"/>
    <w:rsid w:val="00DD1696"/>
    <w:rsid w:val="00DD2311"/>
    <w:rsid w:val="00DD24A9"/>
    <w:rsid w:val="00DD2BDF"/>
    <w:rsid w:val="00DD4CA4"/>
    <w:rsid w:val="00DD5102"/>
    <w:rsid w:val="00DD5823"/>
    <w:rsid w:val="00DD5CB2"/>
    <w:rsid w:val="00DD5FDD"/>
    <w:rsid w:val="00DD68C9"/>
    <w:rsid w:val="00DD6D60"/>
    <w:rsid w:val="00DD75F9"/>
    <w:rsid w:val="00DD78F5"/>
    <w:rsid w:val="00DD7C6C"/>
    <w:rsid w:val="00DE033F"/>
    <w:rsid w:val="00DE0835"/>
    <w:rsid w:val="00DE08BC"/>
    <w:rsid w:val="00DE0D0A"/>
    <w:rsid w:val="00DE1317"/>
    <w:rsid w:val="00DE14DB"/>
    <w:rsid w:val="00DE2106"/>
    <w:rsid w:val="00DE2B62"/>
    <w:rsid w:val="00DE33BB"/>
    <w:rsid w:val="00DE413C"/>
    <w:rsid w:val="00DE42A8"/>
    <w:rsid w:val="00DE4334"/>
    <w:rsid w:val="00DE4639"/>
    <w:rsid w:val="00DE498C"/>
    <w:rsid w:val="00DE4C0B"/>
    <w:rsid w:val="00DE55E7"/>
    <w:rsid w:val="00DE56B6"/>
    <w:rsid w:val="00DE5845"/>
    <w:rsid w:val="00DE5BC8"/>
    <w:rsid w:val="00DE787B"/>
    <w:rsid w:val="00DE792C"/>
    <w:rsid w:val="00DE7A63"/>
    <w:rsid w:val="00DF0292"/>
    <w:rsid w:val="00DF120D"/>
    <w:rsid w:val="00DF13EC"/>
    <w:rsid w:val="00DF3100"/>
    <w:rsid w:val="00DF33F0"/>
    <w:rsid w:val="00DF4374"/>
    <w:rsid w:val="00DF4879"/>
    <w:rsid w:val="00DF55F7"/>
    <w:rsid w:val="00DF5823"/>
    <w:rsid w:val="00DF5AFA"/>
    <w:rsid w:val="00DF5D54"/>
    <w:rsid w:val="00DF5E41"/>
    <w:rsid w:val="00DF5F84"/>
    <w:rsid w:val="00DF5FBC"/>
    <w:rsid w:val="00DF6410"/>
    <w:rsid w:val="00DF6F5F"/>
    <w:rsid w:val="00DF7766"/>
    <w:rsid w:val="00DF7D97"/>
    <w:rsid w:val="00E0054F"/>
    <w:rsid w:val="00E0069E"/>
    <w:rsid w:val="00E00BC9"/>
    <w:rsid w:val="00E0155E"/>
    <w:rsid w:val="00E01A10"/>
    <w:rsid w:val="00E02661"/>
    <w:rsid w:val="00E031FC"/>
    <w:rsid w:val="00E03591"/>
    <w:rsid w:val="00E0397C"/>
    <w:rsid w:val="00E04B8E"/>
    <w:rsid w:val="00E04F61"/>
    <w:rsid w:val="00E04FBA"/>
    <w:rsid w:val="00E062F1"/>
    <w:rsid w:val="00E06985"/>
    <w:rsid w:val="00E06C27"/>
    <w:rsid w:val="00E071E8"/>
    <w:rsid w:val="00E10196"/>
    <w:rsid w:val="00E10A83"/>
    <w:rsid w:val="00E117A4"/>
    <w:rsid w:val="00E1223B"/>
    <w:rsid w:val="00E127B9"/>
    <w:rsid w:val="00E13EC4"/>
    <w:rsid w:val="00E15184"/>
    <w:rsid w:val="00E16038"/>
    <w:rsid w:val="00E17225"/>
    <w:rsid w:val="00E21F5F"/>
    <w:rsid w:val="00E22FAA"/>
    <w:rsid w:val="00E24559"/>
    <w:rsid w:val="00E24667"/>
    <w:rsid w:val="00E2581F"/>
    <w:rsid w:val="00E30701"/>
    <w:rsid w:val="00E30C88"/>
    <w:rsid w:val="00E31114"/>
    <w:rsid w:val="00E31197"/>
    <w:rsid w:val="00E316A5"/>
    <w:rsid w:val="00E326A7"/>
    <w:rsid w:val="00E32769"/>
    <w:rsid w:val="00E32849"/>
    <w:rsid w:val="00E32C11"/>
    <w:rsid w:val="00E32E9D"/>
    <w:rsid w:val="00E337B5"/>
    <w:rsid w:val="00E33EA7"/>
    <w:rsid w:val="00E34521"/>
    <w:rsid w:val="00E34599"/>
    <w:rsid w:val="00E346E6"/>
    <w:rsid w:val="00E34B4B"/>
    <w:rsid w:val="00E34B88"/>
    <w:rsid w:val="00E3555D"/>
    <w:rsid w:val="00E35929"/>
    <w:rsid w:val="00E35957"/>
    <w:rsid w:val="00E3745D"/>
    <w:rsid w:val="00E37630"/>
    <w:rsid w:val="00E40D89"/>
    <w:rsid w:val="00E42AAA"/>
    <w:rsid w:val="00E430CF"/>
    <w:rsid w:val="00E45239"/>
    <w:rsid w:val="00E452B5"/>
    <w:rsid w:val="00E4541E"/>
    <w:rsid w:val="00E45816"/>
    <w:rsid w:val="00E45B48"/>
    <w:rsid w:val="00E45C51"/>
    <w:rsid w:val="00E46AAC"/>
    <w:rsid w:val="00E47DF1"/>
    <w:rsid w:val="00E50826"/>
    <w:rsid w:val="00E5175D"/>
    <w:rsid w:val="00E51D00"/>
    <w:rsid w:val="00E5260D"/>
    <w:rsid w:val="00E52F1B"/>
    <w:rsid w:val="00E534CD"/>
    <w:rsid w:val="00E5401B"/>
    <w:rsid w:val="00E541A9"/>
    <w:rsid w:val="00E544A1"/>
    <w:rsid w:val="00E54513"/>
    <w:rsid w:val="00E5457A"/>
    <w:rsid w:val="00E54C17"/>
    <w:rsid w:val="00E559AB"/>
    <w:rsid w:val="00E56DA2"/>
    <w:rsid w:val="00E56FC4"/>
    <w:rsid w:val="00E5797B"/>
    <w:rsid w:val="00E57DD4"/>
    <w:rsid w:val="00E603A0"/>
    <w:rsid w:val="00E61189"/>
    <w:rsid w:val="00E6214C"/>
    <w:rsid w:val="00E62893"/>
    <w:rsid w:val="00E62BC9"/>
    <w:rsid w:val="00E62BE2"/>
    <w:rsid w:val="00E64348"/>
    <w:rsid w:val="00E64546"/>
    <w:rsid w:val="00E6586D"/>
    <w:rsid w:val="00E6617F"/>
    <w:rsid w:val="00E6657B"/>
    <w:rsid w:val="00E6687A"/>
    <w:rsid w:val="00E67AF0"/>
    <w:rsid w:val="00E67DFC"/>
    <w:rsid w:val="00E702B6"/>
    <w:rsid w:val="00E70B13"/>
    <w:rsid w:val="00E71AF9"/>
    <w:rsid w:val="00E72109"/>
    <w:rsid w:val="00E723FD"/>
    <w:rsid w:val="00E72835"/>
    <w:rsid w:val="00E729E3"/>
    <w:rsid w:val="00E73477"/>
    <w:rsid w:val="00E7364B"/>
    <w:rsid w:val="00E74032"/>
    <w:rsid w:val="00E74980"/>
    <w:rsid w:val="00E755E2"/>
    <w:rsid w:val="00E76654"/>
    <w:rsid w:val="00E77D4C"/>
    <w:rsid w:val="00E80B67"/>
    <w:rsid w:val="00E80E7E"/>
    <w:rsid w:val="00E81B72"/>
    <w:rsid w:val="00E82033"/>
    <w:rsid w:val="00E82A29"/>
    <w:rsid w:val="00E82FE7"/>
    <w:rsid w:val="00E8325A"/>
    <w:rsid w:val="00E84324"/>
    <w:rsid w:val="00E843EB"/>
    <w:rsid w:val="00E8465B"/>
    <w:rsid w:val="00E847FE"/>
    <w:rsid w:val="00E84EE6"/>
    <w:rsid w:val="00E85DE8"/>
    <w:rsid w:val="00E86130"/>
    <w:rsid w:val="00E86362"/>
    <w:rsid w:val="00E86479"/>
    <w:rsid w:val="00E8665A"/>
    <w:rsid w:val="00E903F8"/>
    <w:rsid w:val="00E90D12"/>
    <w:rsid w:val="00E9137F"/>
    <w:rsid w:val="00E91C00"/>
    <w:rsid w:val="00E91CCB"/>
    <w:rsid w:val="00E93437"/>
    <w:rsid w:val="00E937AA"/>
    <w:rsid w:val="00E94825"/>
    <w:rsid w:val="00E95548"/>
    <w:rsid w:val="00E95589"/>
    <w:rsid w:val="00E95D2D"/>
    <w:rsid w:val="00E966E8"/>
    <w:rsid w:val="00E97564"/>
    <w:rsid w:val="00E97BE4"/>
    <w:rsid w:val="00E97CD7"/>
    <w:rsid w:val="00EA010D"/>
    <w:rsid w:val="00EA0EFA"/>
    <w:rsid w:val="00EA2A39"/>
    <w:rsid w:val="00EA2BAB"/>
    <w:rsid w:val="00EA3A62"/>
    <w:rsid w:val="00EA4510"/>
    <w:rsid w:val="00EA45B3"/>
    <w:rsid w:val="00EA475D"/>
    <w:rsid w:val="00EA50E1"/>
    <w:rsid w:val="00EA51BD"/>
    <w:rsid w:val="00EA5B0C"/>
    <w:rsid w:val="00EA5BB2"/>
    <w:rsid w:val="00EA5DA6"/>
    <w:rsid w:val="00EA6346"/>
    <w:rsid w:val="00EA6617"/>
    <w:rsid w:val="00EA6C25"/>
    <w:rsid w:val="00EA6CCB"/>
    <w:rsid w:val="00EA7808"/>
    <w:rsid w:val="00EA7B8D"/>
    <w:rsid w:val="00EB04EF"/>
    <w:rsid w:val="00EB2691"/>
    <w:rsid w:val="00EB3596"/>
    <w:rsid w:val="00EB3FDF"/>
    <w:rsid w:val="00EB4012"/>
    <w:rsid w:val="00EB4507"/>
    <w:rsid w:val="00EB4617"/>
    <w:rsid w:val="00EB468A"/>
    <w:rsid w:val="00EB5017"/>
    <w:rsid w:val="00EB57FA"/>
    <w:rsid w:val="00EB6673"/>
    <w:rsid w:val="00EB6F33"/>
    <w:rsid w:val="00EB70E7"/>
    <w:rsid w:val="00EB7B8F"/>
    <w:rsid w:val="00EB7BEB"/>
    <w:rsid w:val="00EC0C24"/>
    <w:rsid w:val="00EC149B"/>
    <w:rsid w:val="00EC1C39"/>
    <w:rsid w:val="00EC24B0"/>
    <w:rsid w:val="00EC25C0"/>
    <w:rsid w:val="00EC29F6"/>
    <w:rsid w:val="00EC36CF"/>
    <w:rsid w:val="00EC3A3A"/>
    <w:rsid w:val="00EC40E6"/>
    <w:rsid w:val="00EC4B7B"/>
    <w:rsid w:val="00EC4EF6"/>
    <w:rsid w:val="00EC5D68"/>
    <w:rsid w:val="00EC60E8"/>
    <w:rsid w:val="00EC7BED"/>
    <w:rsid w:val="00ED065B"/>
    <w:rsid w:val="00ED0931"/>
    <w:rsid w:val="00ED2029"/>
    <w:rsid w:val="00ED240F"/>
    <w:rsid w:val="00ED2DDF"/>
    <w:rsid w:val="00ED2DED"/>
    <w:rsid w:val="00ED3121"/>
    <w:rsid w:val="00ED31E7"/>
    <w:rsid w:val="00ED5790"/>
    <w:rsid w:val="00ED5C5E"/>
    <w:rsid w:val="00ED5DD3"/>
    <w:rsid w:val="00ED63AE"/>
    <w:rsid w:val="00ED6DED"/>
    <w:rsid w:val="00ED7549"/>
    <w:rsid w:val="00ED7E67"/>
    <w:rsid w:val="00EE02F4"/>
    <w:rsid w:val="00EE1BF2"/>
    <w:rsid w:val="00EE1DE6"/>
    <w:rsid w:val="00EE3DE5"/>
    <w:rsid w:val="00EE46B1"/>
    <w:rsid w:val="00EE47C9"/>
    <w:rsid w:val="00EE5C4F"/>
    <w:rsid w:val="00EE5DC9"/>
    <w:rsid w:val="00EE6F32"/>
    <w:rsid w:val="00EE6FE1"/>
    <w:rsid w:val="00EE70D7"/>
    <w:rsid w:val="00EE72A9"/>
    <w:rsid w:val="00EE7948"/>
    <w:rsid w:val="00EE7C8D"/>
    <w:rsid w:val="00EE7DE7"/>
    <w:rsid w:val="00EF02E0"/>
    <w:rsid w:val="00EF1432"/>
    <w:rsid w:val="00EF1C61"/>
    <w:rsid w:val="00EF216A"/>
    <w:rsid w:val="00EF37B7"/>
    <w:rsid w:val="00EF3D1D"/>
    <w:rsid w:val="00EF3EC7"/>
    <w:rsid w:val="00EF4332"/>
    <w:rsid w:val="00EF4F7A"/>
    <w:rsid w:val="00EF5377"/>
    <w:rsid w:val="00EF557F"/>
    <w:rsid w:val="00EF5C3C"/>
    <w:rsid w:val="00EF7078"/>
    <w:rsid w:val="00EF7352"/>
    <w:rsid w:val="00EF788E"/>
    <w:rsid w:val="00EF7B83"/>
    <w:rsid w:val="00F009AD"/>
    <w:rsid w:val="00F00A72"/>
    <w:rsid w:val="00F00F5F"/>
    <w:rsid w:val="00F0114B"/>
    <w:rsid w:val="00F01182"/>
    <w:rsid w:val="00F01619"/>
    <w:rsid w:val="00F01A2D"/>
    <w:rsid w:val="00F01A79"/>
    <w:rsid w:val="00F01C53"/>
    <w:rsid w:val="00F01D8F"/>
    <w:rsid w:val="00F02303"/>
    <w:rsid w:val="00F02AC1"/>
    <w:rsid w:val="00F02CFC"/>
    <w:rsid w:val="00F03338"/>
    <w:rsid w:val="00F04196"/>
    <w:rsid w:val="00F048A0"/>
    <w:rsid w:val="00F04BC7"/>
    <w:rsid w:val="00F05C29"/>
    <w:rsid w:val="00F05D06"/>
    <w:rsid w:val="00F07632"/>
    <w:rsid w:val="00F100BC"/>
    <w:rsid w:val="00F101DD"/>
    <w:rsid w:val="00F103D0"/>
    <w:rsid w:val="00F104DE"/>
    <w:rsid w:val="00F10936"/>
    <w:rsid w:val="00F11013"/>
    <w:rsid w:val="00F125B0"/>
    <w:rsid w:val="00F13471"/>
    <w:rsid w:val="00F13BA7"/>
    <w:rsid w:val="00F13FC8"/>
    <w:rsid w:val="00F14383"/>
    <w:rsid w:val="00F145ED"/>
    <w:rsid w:val="00F15515"/>
    <w:rsid w:val="00F15D62"/>
    <w:rsid w:val="00F21091"/>
    <w:rsid w:val="00F21613"/>
    <w:rsid w:val="00F2170B"/>
    <w:rsid w:val="00F22333"/>
    <w:rsid w:val="00F22680"/>
    <w:rsid w:val="00F229B3"/>
    <w:rsid w:val="00F22D59"/>
    <w:rsid w:val="00F23AA4"/>
    <w:rsid w:val="00F23E93"/>
    <w:rsid w:val="00F24C5B"/>
    <w:rsid w:val="00F24EC2"/>
    <w:rsid w:val="00F260BD"/>
    <w:rsid w:val="00F260D5"/>
    <w:rsid w:val="00F26E67"/>
    <w:rsid w:val="00F30CC2"/>
    <w:rsid w:val="00F3106C"/>
    <w:rsid w:val="00F31147"/>
    <w:rsid w:val="00F32317"/>
    <w:rsid w:val="00F34DA0"/>
    <w:rsid w:val="00F35537"/>
    <w:rsid w:val="00F35A3D"/>
    <w:rsid w:val="00F35EB1"/>
    <w:rsid w:val="00F35EB5"/>
    <w:rsid w:val="00F363E8"/>
    <w:rsid w:val="00F36877"/>
    <w:rsid w:val="00F36A13"/>
    <w:rsid w:val="00F36CCA"/>
    <w:rsid w:val="00F3711A"/>
    <w:rsid w:val="00F373FB"/>
    <w:rsid w:val="00F379A2"/>
    <w:rsid w:val="00F37C26"/>
    <w:rsid w:val="00F405D9"/>
    <w:rsid w:val="00F4129F"/>
    <w:rsid w:val="00F4230F"/>
    <w:rsid w:val="00F4234A"/>
    <w:rsid w:val="00F424BF"/>
    <w:rsid w:val="00F43AC1"/>
    <w:rsid w:val="00F450AB"/>
    <w:rsid w:val="00F45BC3"/>
    <w:rsid w:val="00F45EF7"/>
    <w:rsid w:val="00F4752A"/>
    <w:rsid w:val="00F4778B"/>
    <w:rsid w:val="00F47821"/>
    <w:rsid w:val="00F5079A"/>
    <w:rsid w:val="00F519D3"/>
    <w:rsid w:val="00F51AD8"/>
    <w:rsid w:val="00F5247A"/>
    <w:rsid w:val="00F52F1E"/>
    <w:rsid w:val="00F53192"/>
    <w:rsid w:val="00F531A5"/>
    <w:rsid w:val="00F54675"/>
    <w:rsid w:val="00F549B7"/>
    <w:rsid w:val="00F54D08"/>
    <w:rsid w:val="00F54D47"/>
    <w:rsid w:val="00F55A7F"/>
    <w:rsid w:val="00F57417"/>
    <w:rsid w:val="00F60CC5"/>
    <w:rsid w:val="00F60EAD"/>
    <w:rsid w:val="00F6112E"/>
    <w:rsid w:val="00F61807"/>
    <w:rsid w:val="00F61A6B"/>
    <w:rsid w:val="00F61B67"/>
    <w:rsid w:val="00F61B68"/>
    <w:rsid w:val="00F61C26"/>
    <w:rsid w:val="00F61EEE"/>
    <w:rsid w:val="00F62F87"/>
    <w:rsid w:val="00F631C2"/>
    <w:rsid w:val="00F63310"/>
    <w:rsid w:val="00F63336"/>
    <w:rsid w:val="00F6389B"/>
    <w:rsid w:val="00F63A90"/>
    <w:rsid w:val="00F63A9A"/>
    <w:rsid w:val="00F63B6B"/>
    <w:rsid w:val="00F63DBC"/>
    <w:rsid w:val="00F64031"/>
    <w:rsid w:val="00F646EC"/>
    <w:rsid w:val="00F64D77"/>
    <w:rsid w:val="00F6514D"/>
    <w:rsid w:val="00F65EBC"/>
    <w:rsid w:val="00F660FC"/>
    <w:rsid w:val="00F6636E"/>
    <w:rsid w:val="00F66DDB"/>
    <w:rsid w:val="00F67286"/>
    <w:rsid w:val="00F674A4"/>
    <w:rsid w:val="00F67623"/>
    <w:rsid w:val="00F67887"/>
    <w:rsid w:val="00F67B53"/>
    <w:rsid w:val="00F701C4"/>
    <w:rsid w:val="00F70481"/>
    <w:rsid w:val="00F7281F"/>
    <w:rsid w:val="00F72AC0"/>
    <w:rsid w:val="00F73188"/>
    <w:rsid w:val="00F73F90"/>
    <w:rsid w:val="00F75480"/>
    <w:rsid w:val="00F75831"/>
    <w:rsid w:val="00F760A6"/>
    <w:rsid w:val="00F76E00"/>
    <w:rsid w:val="00F76F89"/>
    <w:rsid w:val="00F771E1"/>
    <w:rsid w:val="00F7750B"/>
    <w:rsid w:val="00F77D64"/>
    <w:rsid w:val="00F80AD3"/>
    <w:rsid w:val="00F8129A"/>
    <w:rsid w:val="00F81345"/>
    <w:rsid w:val="00F814CD"/>
    <w:rsid w:val="00F815F4"/>
    <w:rsid w:val="00F823BE"/>
    <w:rsid w:val="00F83D26"/>
    <w:rsid w:val="00F8403F"/>
    <w:rsid w:val="00F8456B"/>
    <w:rsid w:val="00F84E40"/>
    <w:rsid w:val="00F9099E"/>
    <w:rsid w:val="00F90FFF"/>
    <w:rsid w:val="00F9113D"/>
    <w:rsid w:val="00F92426"/>
    <w:rsid w:val="00F92742"/>
    <w:rsid w:val="00F92B1A"/>
    <w:rsid w:val="00F92F2E"/>
    <w:rsid w:val="00F94807"/>
    <w:rsid w:val="00F9480D"/>
    <w:rsid w:val="00F94C81"/>
    <w:rsid w:val="00F94D57"/>
    <w:rsid w:val="00F96035"/>
    <w:rsid w:val="00F969AB"/>
    <w:rsid w:val="00F97003"/>
    <w:rsid w:val="00F9726E"/>
    <w:rsid w:val="00F97A44"/>
    <w:rsid w:val="00FA05F9"/>
    <w:rsid w:val="00FA0A64"/>
    <w:rsid w:val="00FA17EC"/>
    <w:rsid w:val="00FA1825"/>
    <w:rsid w:val="00FA19CE"/>
    <w:rsid w:val="00FA1B5B"/>
    <w:rsid w:val="00FA217D"/>
    <w:rsid w:val="00FA2DE0"/>
    <w:rsid w:val="00FA3A7C"/>
    <w:rsid w:val="00FA3F89"/>
    <w:rsid w:val="00FA5383"/>
    <w:rsid w:val="00FA5404"/>
    <w:rsid w:val="00FA66E1"/>
    <w:rsid w:val="00FA72FC"/>
    <w:rsid w:val="00FA7616"/>
    <w:rsid w:val="00FB1ED6"/>
    <w:rsid w:val="00FB1FE2"/>
    <w:rsid w:val="00FB2D6B"/>
    <w:rsid w:val="00FB32A1"/>
    <w:rsid w:val="00FB370B"/>
    <w:rsid w:val="00FB3C72"/>
    <w:rsid w:val="00FB3DC2"/>
    <w:rsid w:val="00FB3FE1"/>
    <w:rsid w:val="00FB4132"/>
    <w:rsid w:val="00FB461E"/>
    <w:rsid w:val="00FB4F60"/>
    <w:rsid w:val="00FB5365"/>
    <w:rsid w:val="00FB58C5"/>
    <w:rsid w:val="00FB5F7E"/>
    <w:rsid w:val="00FB6140"/>
    <w:rsid w:val="00FB681A"/>
    <w:rsid w:val="00FB69DE"/>
    <w:rsid w:val="00FB6A1F"/>
    <w:rsid w:val="00FB6DFB"/>
    <w:rsid w:val="00FB7631"/>
    <w:rsid w:val="00FC08B9"/>
    <w:rsid w:val="00FC26C9"/>
    <w:rsid w:val="00FC2896"/>
    <w:rsid w:val="00FC2C09"/>
    <w:rsid w:val="00FC3118"/>
    <w:rsid w:val="00FC4606"/>
    <w:rsid w:val="00FC5188"/>
    <w:rsid w:val="00FC5203"/>
    <w:rsid w:val="00FC5E4F"/>
    <w:rsid w:val="00FC6E95"/>
    <w:rsid w:val="00FC7A25"/>
    <w:rsid w:val="00FC7AE7"/>
    <w:rsid w:val="00FD0366"/>
    <w:rsid w:val="00FD046B"/>
    <w:rsid w:val="00FD0A3F"/>
    <w:rsid w:val="00FD0ADD"/>
    <w:rsid w:val="00FD0D5C"/>
    <w:rsid w:val="00FD1029"/>
    <w:rsid w:val="00FD1CB0"/>
    <w:rsid w:val="00FD2D6C"/>
    <w:rsid w:val="00FD3BAD"/>
    <w:rsid w:val="00FD3D48"/>
    <w:rsid w:val="00FD40EB"/>
    <w:rsid w:val="00FD452A"/>
    <w:rsid w:val="00FD4F3A"/>
    <w:rsid w:val="00FD5266"/>
    <w:rsid w:val="00FD6140"/>
    <w:rsid w:val="00FD6794"/>
    <w:rsid w:val="00FD7C0B"/>
    <w:rsid w:val="00FE03E1"/>
    <w:rsid w:val="00FE06E4"/>
    <w:rsid w:val="00FE0B54"/>
    <w:rsid w:val="00FE0D97"/>
    <w:rsid w:val="00FE140F"/>
    <w:rsid w:val="00FE15C3"/>
    <w:rsid w:val="00FE2A28"/>
    <w:rsid w:val="00FE371F"/>
    <w:rsid w:val="00FE3FE0"/>
    <w:rsid w:val="00FE4E38"/>
    <w:rsid w:val="00FE4FA7"/>
    <w:rsid w:val="00FE5D98"/>
    <w:rsid w:val="00FE5DA8"/>
    <w:rsid w:val="00FE638B"/>
    <w:rsid w:val="00FE63F2"/>
    <w:rsid w:val="00FE7F48"/>
    <w:rsid w:val="00FF09B4"/>
    <w:rsid w:val="00FF1227"/>
    <w:rsid w:val="00FF19EE"/>
    <w:rsid w:val="00FF1F25"/>
    <w:rsid w:val="00FF2E2F"/>
    <w:rsid w:val="00FF3314"/>
    <w:rsid w:val="00FF3666"/>
    <w:rsid w:val="00FF3BC3"/>
    <w:rsid w:val="00FF447A"/>
    <w:rsid w:val="00FF4DD6"/>
    <w:rsid w:val="00FF5572"/>
    <w:rsid w:val="00FF5654"/>
    <w:rsid w:val="00FF5777"/>
    <w:rsid w:val="00FF61A3"/>
    <w:rsid w:val="011B1783"/>
    <w:rsid w:val="020A380E"/>
    <w:rsid w:val="024437B5"/>
    <w:rsid w:val="02670C89"/>
    <w:rsid w:val="07325AB5"/>
    <w:rsid w:val="079138D8"/>
    <w:rsid w:val="0812784A"/>
    <w:rsid w:val="08A83E7E"/>
    <w:rsid w:val="0AF9523F"/>
    <w:rsid w:val="0B923CFA"/>
    <w:rsid w:val="0BF05CF0"/>
    <w:rsid w:val="0D1722CD"/>
    <w:rsid w:val="0EE24676"/>
    <w:rsid w:val="0FEB540C"/>
    <w:rsid w:val="10CE7E70"/>
    <w:rsid w:val="111D1113"/>
    <w:rsid w:val="112C7874"/>
    <w:rsid w:val="11347EEE"/>
    <w:rsid w:val="11C91416"/>
    <w:rsid w:val="13F23183"/>
    <w:rsid w:val="14283591"/>
    <w:rsid w:val="14EF20FC"/>
    <w:rsid w:val="14F8678E"/>
    <w:rsid w:val="15A72150"/>
    <w:rsid w:val="16105892"/>
    <w:rsid w:val="1DE2466D"/>
    <w:rsid w:val="1FC65ACA"/>
    <w:rsid w:val="206E3E26"/>
    <w:rsid w:val="208F4FF9"/>
    <w:rsid w:val="22FD0368"/>
    <w:rsid w:val="245F461E"/>
    <w:rsid w:val="25115A6A"/>
    <w:rsid w:val="25F45292"/>
    <w:rsid w:val="274A4CD4"/>
    <w:rsid w:val="27C3470E"/>
    <w:rsid w:val="29217C92"/>
    <w:rsid w:val="295E5E71"/>
    <w:rsid w:val="2C691E13"/>
    <w:rsid w:val="2DA7051E"/>
    <w:rsid w:val="2DEB6E0E"/>
    <w:rsid w:val="2E9838EF"/>
    <w:rsid w:val="2EA27EB1"/>
    <w:rsid w:val="2EDD2B8C"/>
    <w:rsid w:val="2EF14B0A"/>
    <w:rsid w:val="2F7431E9"/>
    <w:rsid w:val="3240775C"/>
    <w:rsid w:val="33A211D6"/>
    <w:rsid w:val="342C3838"/>
    <w:rsid w:val="344E1B37"/>
    <w:rsid w:val="3547281C"/>
    <w:rsid w:val="35EF6205"/>
    <w:rsid w:val="36026111"/>
    <w:rsid w:val="36553A9B"/>
    <w:rsid w:val="37BA6DA9"/>
    <w:rsid w:val="3ABD750C"/>
    <w:rsid w:val="3B1F1871"/>
    <w:rsid w:val="3DA30435"/>
    <w:rsid w:val="3DF42838"/>
    <w:rsid w:val="3E1D368A"/>
    <w:rsid w:val="3E76190C"/>
    <w:rsid w:val="3FBF43B6"/>
    <w:rsid w:val="3FEA330D"/>
    <w:rsid w:val="402F791D"/>
    <w:rsid w:val="40660FF3"/>
    <w:rsid w:val="40986612"/>
    <w:rsid w:val="42347335"/>
    <w:rsid w:val="42D842B8"/>
    <w:rsid w:val="44A53834"/>
    <w:rsid w:val="46827EEC"/>
    <w:rsid w:val="468A0B4E"/>
    <w:rsid w:val="478F41FA"/>
    <w:rsid w:val="48D04ED4"/>
    <w:rsid w:val="4BF83AF4"/>
    <w:rsid w:val="4C080E93"/>
    <w:rsid w:val="4C505194"/>
    <w:rsid w:val="4E467A51"/>
    <w:rsid w:val="50E156D4"/>
    <w:rsid w:val="52690D70"/>
    <w:rsid w:val="52FA6A24"/>
    <w:rsid w:val="5308257D"/>
    <w:rsid w:val="53D1600F"/>
    <w:rsid w:val="56941CA1"/>
    <w:rsid w:val="56DE4A61"/>
    <w:rsid w:val="59875AED"/>
    <w:rsid w:val="5A9B2DB5"/>
    <w:rsid w:val="5CDC1CAC"/>
    <w:rsid w:val="5E31548D"/>
    <w:rsid w:val="5FF27A39"/>
    <w:rsid w:val="60357FE3"/>
    <w:rsid w:val="6286544F"/>
    <w:rsid w:val="62FB30A8"/>
    <w:rsid w:val="65476D45"/>
    <w:rsid w:val="65BA4181"/>
    <w:rsid w:val="65E9720D"/>
    <w:rsid w:val="66A9229D"/>
    <w:rsid w:val="68DB550E"/>
    <w:rsid w:val="69586B5E"/>
    <w:rsid w:val="6A201DA4"/>
    <w:rsid w:val="6A73147D"/>
    <w:rsid w:val="6C064D6C"/>
    <w:rsid w:val="6CD921C9"/>
    <w:rsid w:val="6D084B10"/>
    <w:rsid w:val="6DDC5106"/>
    <w:rsid w:val="6F490CF7"/>
    <w:rsid w:val="70281A10"/>
    <w:rsid w:val="72F95300"/>
    <w:rsid w:val="74832EDD"/>
    <w:rsid w:val="75F96922"/>
    <w:rsid w:val="765A3204"/>
    <w:rsid w:val="768A3ED7"/>
    <w:rsid w:val="784C344A"/>
    <w:rsid w:val="78FB5575"/>
    <w:rsid w:val="7A2311C3"/>
    <w:rsid w:val="7B975108"/>
    <w:rsid w:val="7C063EFE"/>
    <w:rsid w:val="7CEF2FF2"/>
    <w:rsid w:val="7DA83150"/>
    <w:rsid w:val="7E2917AB"/>
    <w:rsid w:val="7F3D538F"/>
    <w:rsid w:val="7F7525E3"/>
    <w:rsid w:val="7F7860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widowControl/>
      <w:jc w:val="left"/>
      <w:outlineLvl w:val="0"/>
    </w:pPr>
    <w:rPr>
      <w:b/>
      <w:bCs/>
      <w:kern w:val="0"/>
      <w:sz w:val="24"/>
    </w:rPr>
  </w:style>
  <w:style w:type="paragraph" w:styleId="4">
    <w:name w:val="heading 2"/>
    <w:basedOn w:val="1"/>
    <w:next w:val="1"/>
    <w:link w:val="6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8"/>
    <w:qFormat/>
    <w:uiPriority w:val="0"/>
    <w:pPr>
      <w:keepNext/>
      <w:outlineLvl w:val="2"/>
    </w:pPr>
    <w:rPr>
      <w:rFonts w:ascii="楷体_GB2312" w:hAnsi="宋体" w:eastAsia="楷体_GB2312"/>
      <w:b/>
      <w:bCs/>
      <w:sz w:val="32"/>
    </w:rPr>
  </w:style>
  <w:style w:type="paragraph" w:styleId="6">
    <w:name w:val="heading 4"/>
    <w:basedOn w:val="1"/>
    <w:next w:val="7"/>
    <w:link w:val="217"/>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8">
    <w:name w:val="heading 5"/>
    <w:basedOn w:val="1"/>
    <w:next w:val="1"/>
    <w:link w:val="70"/>
    <w:qFormat/>
    <w:uiPriority w:val="0"/>
    <w:pPr>
      <w:keepNext/>
      <w:keepLines/>
      <w:widowControl/>
      <w:spacing w:before="280" w:after="290" w:line="376" w:lineRule="auto"/>
      <w:jc w:val="left"/>
      <w:outlineLvl w:val="4"/>
    </w:pPr>
    <w:rPr>
      <w:b/>
      <w:bCs/>
      <w:kern w:val="0"/>
      <w:sz w:val="28"/>
      <w:szCs w:val="28"/>
    </w:rPr>
  </w:style>
  <w:style w:type="paragraph" w:styleId="9">
    <w:name w:val="heading 6"/>
    <w:basedOn w:val="1"/>
    <w:next w:val="1"/>
    <w:link w:val="71"/>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10">
    <w:name w:val="heading 7"/>
    <w:basedOn w:val="1"/>
    <w:next w:val="1"/>
    <w:link w:val="72"/>
    <w:qFormat/>
    <w:uiPriority w:val="0"/>
    <w:pPr>
      <w:keepNext/>
      <w:keepLines/>
      <w:widowControl/>
      <w:spacing w:before="240" w:after="64" w:line="320" w:lineRule="auto"/>
      <w:jc w:val="left"/>
      <w:outlineLvl w:val="6"/>
    </w:pPr>
    <w:rPr>
      <w:b/>
      <w:bCs/>
      <w:kern w:val="0"/>
      <w:sz w:val="24"/>
    </w:rPr>
  </w:style>
  <w:style w:type="paragraph" w:styleId="11">
    <w:name w:val="heading 8"/>
    <w:basedOn w:val="1"/>
    <w:next w:val="1"/>
    <w:link w:val="73"/>
    <w:qFormat/>
    <w:uiPriority w:val="0"/>
    <w:pPr>
      <w:keepNext/>
      <w:keepLines/>
      <w:widowControl/>
      <w:spacing w:before="240" w:after="64" w:line="320" w:lineRule="auto"/>
      <w:jc w:val="left"/>
      <w:outlineLvl w:val="7"/>
    </w:pPr>
    <w:rPr>
      <w:rFonts w:ascii="Arial" w:hAnsi="Arial" w:eastAsia="黑体"/>
      <w:kern w:val="0"/>
      <w:sz w:val="24"/>
    </w:rPr>
  </w:style>
  <w:style w:type="paragraph" w:styleId="12">
    <w:name w:val="heading 9"/>
    <w:basedOn w:val="1"/>
    <w:next w:val="1"/>
    <w:link w:val="74"/>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0"/>
    <w:qFormat/>
    <w:uiPriority w:val="99"/>
    <w:rPr>
      <w:rFonts w:ascii="宋体" w:hAnsi="Courier New" w:cs="Courier New" w:eastAsiaTheme="minorEastAsia"/>
      <w:szCs w:val="21"/>
    </w:rPr>
  </w:style>
  <w:style w:type="paragraph" w:styleId="7">
    <w:name w:val="Normal Indent"/>
    <w:basedOn w:val="1"/>
    <w:link w:val="124"/>
    <w:qFormat/>
    <w:uiPriority w:val="0"/>
    <w:pPr>
      <w:ind w:firstLine="420" w:firstLineChars="200"/>
    </w:pPr>
    <w:rPr>
      <w:szCs w:val="21"/>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39"/>
    <w:pPr>
      <w:ind w:left="1260"/>
      <w:jc w:val="left"/>
    </w:pPr>
    <w:rPr>
      <w:rFonts w:ascii="Calibri" w:hAnsi="Calibri" w:cs="Calibri"/>
      <w:sz w:val="18"/>
      <w:szCs w:val="18"/>
    </w:rPr>
  </w:style>
  <w:style w:type="paragraph" w:styleId="15">
    <w:name w:val="List Bullet 4"/>
    <w:basedOn w:val="1"/>
    <w:qFormat/>
    <w:uiPriority w:val="0"/>
    <w:pPr>
      <w:tabs>
        <w:tab w:val="left" w:pos="1620"/>
      </w:tabs>
      <w:ind w:left="1620" w:hanging="360"/>
    </w:pPr>
  </w:style>
  <w:style w:type="paragraph" w:styleId="16">
    <w:name w:val="caption"/>
    <w:basedOn w:val="1"/>
    <w:next w:val="1"/>
    <w:unhideWhenUsed/>
    <w:qFormat/>
    <w:uiPriority w:val="0"/>
    <w:rPr>
      <w:rFonts w:eastAsia="黑体" w:asciiTheme="majorHAnsi" w:hAnsiTheme="majorHAnsi" w:cstheme="majorBidi"/>
      <w:sz w:val="20"/>
      <w:szCs w:val="20"/>
    </w:rPr>
  </w:style>
  <w:style w:type="paragraph" w:styleId="17">
    <w:name w:val="Document Map"/>
    <w:basedOn w:val="1"/>
    <w:link w:val="106"/>
    <w:qFormat/>
    <w:uiPriority w:val="0"/>
    <w:pPr>
      <w:shd w:val="clear" w:color="auto" w:fill="000080"/>
    </w:pPr>
    <w:rPr>
      <w:szCs w:val="20"/>
    </w:rPr>
  </w:style>
  <w:style w:type="paragraph" w:styleId="18">
    <w:name w:val="annotation text"/>
    <w:basedOn w:val="1"/>
    <w:link w:val="81"/>
    <w:qFormat/>
    <w:uiPriority w:val="0"/>
    <w:pPr>
      <w:jc w:val="left"/>
    </w:pPr>
    <w:rPr>
      <w:rFonts w:asciiTheme="minorHAnsi" w:hAnsiTheme="minorHAnsi" w:eastAsiaTheme="minorEastAsia" w:cstheme="minorBidi"/>
    </w:rPr>
  </w:style>
  <w:style w:type="paragraph" w:styleId="19">
    <w:name w:val="Body Text 3"/>
    <w:basedOn w:val="1"/>
    <w:link w:val="99"/>
    <w:qFormat/>
    <w:uiPriority w:val="0"/>
    <w:pPr>
      <w:spacing w:after="120"/>
    </w:pPr>
    <w:rPr>
      <w:sz w:val="16"/>
      <w:szCs w:val="16"/>
    </w:rPr>
  </w:style>
  <w:style w:type="paragraph" w:styleId="20">
    <w:name w:val="List Bullet 3"/>
    <w:basedOn w:val="1"/>
    <w:qFormat/>
    <w:uiPriority w:val="0"/>
    <w:pPr>
      <w:tabs>
        <w:tab w:val="left" w:pos="1200"/>
      </w:tabs>
      <w:ind w:left="1200" w:hanging="360"/>
    </w:pPr>
  </w:style>
  <w:style w:type="paragraph" w:styleId="21">
    <w:name w:val="Body Text"/>
    <w:basedOn w:val="1"/>
    <w:next w:val="1"/>
    <w:link w:val="109"/>
    <w:qFormat/>
    <w:uiPriority w:val="0"/>
    <w:pPr>
      <w:spacing w:after="120"/>
    </w:pPr>
  </w:style>
  <w:style w:type="paragraph" w:styleId="22">
    <w:name w:val="Body Text Indent"/>
    <w:basedOn w:val="1"/>
    <w:link w:val="94"/>
    <w:qFormat/>
    <w:uiPriority w:val="0"/>
    <w:pPr>
      <w:spacing w:line="560" w:lineRule="exact"/>
      <w:ind w:left="300"/>
    </w:pPr>
    <w:rPr>
      <w:sz w:val="24"/>
    </w:rPr>
  </w:style>
  <w:style w:type="paragraph" w:styleId="23">
    <w:name w:val="List 2"/>
    <w:basedOn w:val="1"/>
    <w:qFormat/>
    <w:uiPriority w:val="0"/>
    <w:pPr>
      <w:ind w:left="100" w:leftChars="200" w:hanging="200" w:hangingChars="200"/>
    </w:pPr>
  </w:style>
  <w:style w:type="paragraph" w:styleId="24">
    <w:name w:val="List Continue"/>
    <w:basedOn w:val="1"/>
    <w:qFormat/>
    <w:uiPriority w:val="0"/>
    <w:pPr>
      <w:spacing w:after="120"/>
      <w:ind w:left="420" w:leftChars="200"/>
    </w:pPr>
  </w:style>
  <w:style w:type="paragraph" w:styleId="25">
    <w:name w:val="Block Text"/>
    <w:basedOn w:val="1"/>
    <w:qFormat/>
    <w:uiPriority w:val="0"/>
    <w:pPr>
      <w:ind w:left="105" w:right="353" w:firstLine="720"/>
      <w:jc w:val="center"/>
    </w:pPr>
    <w:rPr>
      <w:rFonts w:eastAsia="楷体_GB2312"/>
      <w:sz w:val="24"/>
    </w:rPr>
  </w:style>
  <w:style w:type="paragraph" w:styleId="26">
    <w:name w:val="List Bullet 2"/>
    <w:basedOn w:val="1"/>
    <w:qFormat/>
    <w:uiPriority w:val="0"/>
    <w:pPr>
      <w:tabs>
        <w:tab w:val="left" w:pos="780"/>
      </w:tabs>
      <w:ind w:left="780" w:hanging="360"/>
    </w:pPr>
  </w:style>
  <w:style w:type="paragraph" w:styleId="27">
    <w:name w:val="toc 5"/>
    <w:basedOn w:val="1"/>
    <w:next w:val="1"/>
    <w:qFormat/>
    <w:uiPriority w:val="39"/>
    <w:pPr>
      <w:ind w:left="840"/>
      <w:jc w:val="left"/>
    </w:pPr>
    <w:rPr>
      <w:rFonts w:ascii="Calibri" w:hAnsi="Calibri" w:cs="Calibri"/>
      <w:sz w:val="18"/>
      <w:szCs w:val="18"/>
    </w:rPr>
  </w:style>
  <w:style w:type="paragraph" w:styleId="28">
    <w:name w:val="toc 3"/>
    <w:basedOn w:val="1"/>
    <w:next w:val="1"/>
    <w:qFormat/>
    <w:uiPriority w:val="0"/>
    <w:pPr>
      <w:spacing w:before="120" w:after="120"/>
      <w:ind w:left="420"/>
      <w:jc w:val="left"/>
    </w:pPr>
    <w:rPr>
      <w:rFonts w:ascii="Calibri" w:hAnsi="Calibri" w:cs="Calibri"/>
      <w:iCs/>
      <w:szCs w:val="20"/>
    </w:rPr>
  </w:style>
  <w:style w:type="paragraph" w:styleId="29">
    <w:name w:val="toc 8"/>
    <w:basedOn w:val="1"/>
    <w:next w:val="1"/>
    <w:qFormat/>
    <w:uiPriority w:val="39"/>
    <w:pPr>
      <w:ind w:left="1470"/>
      <w:jc w:val="left"/>
    </w:pPr>
    <w:rPr>
      <w:rFonts w:ascii="Calibri" w:hAnsi="Calibri" w:cs="Calibri"/>
      <w:sz w:val="18"/>
      <w:szCs w:val="18"/>
    </w:rPr>
  </w:style>
  <w:style w:type="paragraph" w:styleId="30">
    <w:name w:val="Date"/>
    <w:basedOn w:val="1"/>
    <w:next w:val="1"/>
    <w:link w:val="112"/>
    <w:qFormat/>
    <w:uiPriority w:val="0"/>
    <w:pPr>
      <w:widowControl/>
    </w:pPr>
    <w:rPr>
      <w:rFonts w:ascii="宋体"/>
      <w:kern w:val="0"/>
      <w:szCs w:val="20"/>
    </w:rPr>
  </w:style>
  <w:style w:type="paragraph" w:styleId="31">
    <w:name w:val="Body Text Indent 2"/>
    <w:basedOn w:val="1"/>
    <w:link w:val="110"/>
    <w:qFormat/>
    <w:uiPriority w:val="0"/>
    <w:pPr>
      <w:spacing w:line="540" w:lineRule="exact"/>
      <w:ind w:left="462" w:leftChars="220"/>
    </w:pPr>
    <w:rPr>
      <w:sz w:val="24"/>
    </w:rPr>
  </w:style>
  <w:style w:type="paragraph" w:styleId="32">
    <w:name w:val="List Continue 5"/>
    <w:basedOn w:val="1"/>
    <w:qFormat/>
    <w:uiPriority w:val="0"/>
    <w:pPr>
      <w:spacing w:after="120"/>
      <w:ind w:left="2100" w:leftChars="1000"/>
    </w:pPr>
  </w:style>
  <w:style w:type="paragraph" w:styleId="33">
    <w:name w:val="Balloon Text"/>
    <w:basedOn w:val="1"/>
    <w:link w:val="77"/>
    <w:qFormat/>
    <w:uiPriority w:val="0"/>
    <w:rPr>
      <w:rFonts w:asciiTheme="minorHAnsi" w:hAnsiTheme="minorHAnsi" w:cstheme="minorBidi"/>
      <w:sz w:val="18"/>
      <w:szCs w:val="22"/>
    </w:rPr>
  </w:style>
  <w:style w:type="paragraph" w:styleId="34">
    <w:name w:val="footer"/>
    <w:basedOn w:val="1"/>
    <w:link w:val="65"/>
    <w:unhideWhenUsed/>
    <w:qFormat/>
    <w:uiPriority w:val="99"/>
    <w:pPr>
      <w:tabs>
        <w:tab w:val="center" w:pos="4153"/>
        <w:tab w:val="right" w:pos="8306"/>
      </w:tabs>
      <w:snapToGrid w:val="0"/>
      <w:jc w:val="left"/>
    </w:pPr>
    <w:rPr>
      <w:sz w:val="18"/>
      <w:szCs w:val="18"/>
    </w:rPr>
  </w:style>
  <w:style w:type="paragraph" w:styleId="35">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spacing w:before="120" w:after="120"/>
      <w:jc w:val="left"/>
    </w:pPr>
    <w:rPr>
      <w:rFonts w:ascii="Calibri" w:hAnsi="Calibri" w:cs="Calibri"/>
      <w:b/>
      <w:bCs/>
      <w:caps/>
      <w:szCs w:val="20"/>
    </w:rPr>
  </w:style>
  <w:style w:type="paragraph" w:styleId="37">
    <w:name w:val="List Continue 4"/>
    <w:basedOn w:val="1"/>
    <w:qFormat/>
    <w:uiPriority w:val="0"/>
    <w:pPr>
      <w:spacing w:after="120"/>
      <w:ind w:left="1680" w:leftChars="800"/>
    </w:pPr>
  </w:style>
  <w:style w:type="paragraph" w:styleId="38">
    <w:name w:val="toc 4"/>
    <w:basedOn w:val="1"/>
    <w:next w:val="1"/>
    <w:qFormat/>
    <w:uiPriority w:val="0"/>
    <w:pPr>
      <w:ind w:left="630"/>
      <w:jc w:val="left"/>
    </w:pPr>
    <w:rPr>
      <w:rFonts w:ascii="Calibri" w:hAnsi="Calibri" w:cs="Calibri"/>
      <w:sz w:val="18"/>
      <w:szCs w:val="18"/>
    </w:rPr>
  </w:style>
  <w:style w:type="paragraph" w:styleId="39">
    <w:name w:val="index heading"/>
    <w:basedOn w:val="1"/>
    <w:next w:val="40"/>
    <w:semiHidden/>
    <w:qFormat/>
    <w:uiPriority w:val="0"/>
    <w:rPr>
      <w:szCs w:val="20"/>
    </w:rPr>
  </w:style>
  <w:style w:type="paragraph" w:styleId="40">
    <w:name w:val="index 1"/>
    <w:basedOn w:val="1"/>
    <w:next w:val="1"/>
    <w:unhideWhenUsed/>
    <w:qFormat/>
    <w:uiPriority w:val="0"/>
  </w:style>
  <w:style w:type="paragraph" w:styleId="41">
    <w:name w:val="List"/>
    <w:basedOn w:val="1"/>
    <w:qFormat/>
    <w:uiPriority w:val="0"/>
    <w:pPr>
      <w:ind w:left="200" w:hanging="200" w:hangingChars="200"/>
    </w:pPr>
  </w:style>
  <w:style w:type="paragraph" w:styleId="42">
    <w:name w:val="toc 6"/>
    <w:basedOn w:val="1"/>
    <w:next w:val="1"/>
    <w:qFormat/>
    <w:uiPriority w:val="39"/>
    <w:pPr>
      <w:ind w:left="1050"/>
      <w:jc w:val="left"/>
    </w:pPr>
    <w:rPr>
      <w:rFonts w:ascii="Calibri" w:hAnsi="Calibri" w:cs="Calibri"/>
      <w:sz w:val="18"/>
      <w:szCs w:val="18"/>
    </w:rPr>
  </w:style>
  <w:style w:type="paragraph" w:styleId="43">
    <w:name w:val="List 5"/>
    <w:basedOn w:val="1"/>
    <w:qFormat/>
    <w:uiPriority w:val="0"/>
    <w:pPr>
      <w:ind w:left="100" w:leftChars="800" w:hanging="200" w:hangingChars="200"/>
    </w:pPr>
  </w:style>
  <w:style w:type="paragraph" w:styleId="44">
    <w:name w:val="Body Text Indent 3"/>
    <w:basedOn w:val="1"/>
    <w:link w:val="115"/>
    <w:qFormat/>
    <w:uiPriority w:val="0"/>
    <w:pPr>
      <w:spacing w:after="120"/>
      <w:ind w:left="420" w:leftChars="200"/>
    </w:pPr>
    <w:rPr>
      <w:sz w:val="16"/>
      <w:szCs w:val="16"/>
    </w:rPr>
  </w:style>
  <w:style w:type="paragraph" w:styleId="45">
    <w:name w:val="toc 2"/>
    <w:basedOn w:val="1"/>
    <w:next w:val="1"/>
    <w:qFormat/>
    <w:uiPriority w:val="0"/>
    <w:pPr>
      <w:spacing w:before="120" w:after="120"/>
      <w:ind w:left="210"/>
      <w:jc w:val="left"/>
    </w:pPr>
    <w:rPr>
      <w:rFonts w:ascii="Calibri" w:hAnsi="Calibri" w:cs="Calibri"/>
      <w:smallCaps/>
      <w:szCs w:val="20"/>
    </w:rPr>
  </w:style>
  <w:style w:type="paragraph" w:styleId="46">
    <w:name w:val="toc 9"/>
    <w:basedOn w:val="1"/>
    <w:next w:val="1"/>
    <w:qFormat/>
    <w:uiPriority w:val="39"/>
    <w:pPr>
      <w:ind w:left="1680"/>
      <w:jc w:val="left"/>
    </w:pPr>
    <w:rPr>
      <w:rFonts w:ascii="Calibri" w:hAnsi="Calibri" w:cs="Calibri"/>
      <w:sz w:val="18"/>
      <w:szCs w:val="18"/>
    </w:rPr>
  </w:style>
  <w:style w:type="paragraph" w:styleId="47">
    <w:name w:val="Body Text 2"/>
    <w:basedOn w:val="1"/>
    <w:link w:val="205"/>
    <w:qFormat/>
    <w:uiPriority w:val="0"/>
    <w:pPr>
      <w:spacing w:after="120" w:line="480" w:lineRule="auto"/>
    </w:pPr>
  </w:style>
  <w:style w:type="paragraph" w:styleId="48">
    <w:name w:val="List 4"/>
    <w:basedOn w:val="1"/>
    <w:qFormat/>
    <w:uiPriority w:val="0"/>
    <w:pPr>
      <w:ind w:left="100" w:leftChars="600" w:hanging="200" w:hangingChars="200"/>
    </w:pPr>
  </w:style>
  <w:style w:type="paragraph" w:styleId="49">
    <w:name w:val="List Continue 2"/>
    <w:basedOn w:val="1"/>
    <w:qFormat/>
    <w:uiPriority w:val="0"/>
    <w:pPr>
      <w:spacing w:after="120"/>
      <w:ind w:left="840" w:leftChars="400"/>
    </w:pPr>
  </w:style>
  <w:style w:type="paragraph" w:styleId="5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1">
    <w:name w:val="Normal (Web)"/>
    <w:basedOn w:val="1"/>
    <w:qFormat/>
    <w:uiPriority w:val="99"/>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spacing w:after="120"/>
      <w:ind w:left="1260" w:leftChars="600"/>
    </w:pPr>
  </w:style>
  <w:style w:type="paragraph" w:styleId="53">
    <w:name w:val="annotation subject"/>
    <w:basedOn w:val="18"/>
    <w:next w:val="18"/>
    <w:link w:val="105"/>
    <w:semiHidden/>
    <w:qFormat/>
    <w:uiPriority w:val="0"/>
    <w:rPr>
      <w:b/>
      <w:bCs/>
    </w:rPr>
  </w:style>
  <w:style w:type="paragraph" w:styleId="54">
    <w:name w:val="Body Text First Indent"/>
    <w:basedOn w:val="21"/>
    <w:link w:val="133"/>
    <w:unhideWhenUsed/>
    <w:qFormat/>
    <w:uiPriority w:val="0"/>
    <w:pPr>
      <w:ind w:firstLine="420" w:firstLineChars="100"/>
    </w:pPr>
  </w:style>
  <w:style w:type="table" w:styleId="56">
    <w:name w:val="Table Grid"/>
    <w:basedOn w:val="5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rPr>
  </w:style>
  <w:style w:type="character" w:styleId="59">
    <w:name w:val="page number"/>
    <w:basedOn w:val="57"/>
    <w:qFormat/>
    <w:uiPriority w:val="0"/>
  </w:style>
  <w:style w:type="character" w:styleId="60">
    <w:name w:val="FollowedHyperlink"/>
    <w:basedOn w:val="57"/>
    <w:unhideWhenUsed/>
    <w:qFormat/>
    <w:uiPriority w:val="0"/>
    <w:rPr>
      <w:color w:val="800080" w:themeColor="followedHyperlink"/>
      <w:u w:val="single"/>
      <w14:textFill>
        <w14:solidFill>
          <w14:schemeClr w14:val="folHlink"/>
        </w14:solidFill>
      </w14:textFill>
    </w:rPr>
  </w:style>
  <w:style w:type="character" w:styleId="61">
    <w:name w:val="Emphasis"/>
    <w:qFormat/>
    <w:uiPriority w:val="0"/>
    <w:rPr>
      <w:color w:val="CC0000"/>
    </w:rPr>
  </w:style>
  <w:style w:type="character" w:styleId="62">
    <w:name w:val="Hyperlink"/>
    <w:qFormat/>
    <w:uiPriority w:val="99"/>
    <w:rPr>
      <w:rFonts w:eastAsia="宋体"/>
      <w:color w:val="0000FF"/>
      <w:sz w:val="28"/>
      <w:u w:val="single"/>
    </w:rPr>
  </w:style>
  <w:style w:type="character" w:styleId="63">
    <w:name w:val="annotation reference"/>
    <w:qFormat/>
    <w:uiPriority w:val="0"/>
    <w:rPr>
      <w:sz w:val="21"/>
      <w:szCs w:val="21"/>
    </w:rPr>
  </w:style>
  <w:style w:type="character" w:customStyle="1" w:styleId="64">
    <w:name w:val="页眉 Char"/>
    <w:basedOn w:val="57"/>
    <w:link w:val="35"/>
    <w:qFormat/>
    <w:uiPriority w:val="0"/>
    <w:rPr>
      <w:sz w:val="18"/>
      <w:szCs w:val="18"/>
    </w:rPr>
  </w:style>
  <w:style w:type="character" w:customStyle="1" w:styleId="65">
    <w:name w:val="页脚 Char1"/>
    <w:basedOn w:val="57"/>
    <w:link w:val="34"/>
    <w:qFormat/>
    <w:uiPriority w:val="99"/>
    <w:rPr>
      <w:sz w:val="18"/>
      <w:szCs w:val="18"/>
    </w:rPr>
  </w:style>
  <w:style w:type="character" w:customStyle="1" w:styleId="66">
    <w:name w:val="标题 1 Char"/>
    <w:basedOn w:val="57"/>
    <w:link w:val="3"/>
    <w:qFormat/>
    <w:uiPriority w:val="0"/>
    <w:rPr>
      <w:rFonts w:ascii="Times New Roman" w:hAnsi="Times New Roman" w:eastAsia="宋体" w:cs="Times New Roman"/>
      <w:b/>
      <w:bCs/>
      <w:kern w:val="0"/>
      <w:sz w:val="24"/>
      <w:szCs w:val="24"/>
    </w:rPr>
  </w:style>
  <w:style w:type="character" w:customStyle="1" w:styleId="67">
    <w:name w:val="标题 2 Char1"/>
    <w:basedOn w:val="57"/>
    <w:link w:val="4"/>
    <w:qFormat/>
    <w:uiPriority w:val="0"/>
    <w:rPr>
      <w:rFonts w:ascii="Arial" w:hAnsi="Arial" w:eastAsia="黑体" w:cs="Times New Roman"/>
      <w:b/>
      <w:bCs/>
      <w:sz w:val="32"/>
      <w:szCs w:val="32"/>
    </w:rPr>
  </w:style>
  <w:style w:type="character" w:customStyle="1" w:styleId="68">
    <w:name w:val="标题 3 Char"/>
    <w:basedOn w:val="57"/>
    <w:link w:val="5"/>
    <w:qFormat/>
    <w:uiPriority w:val="0"/>
    <w:rPr>
      <w:rFonts w:ascii="楷体_GB2312" w:hAnsi="宋体" w:eastAsia="楷体_GB2312" w:cs="Times New Roman"/>
      <w:b/>
      <w:bCs/>
      <w:sz w:val="32"/>
      <w:szCs w:val="24"/>
    </w:rPr>
  </w:style>
  <w:style w:type="character" w:customStyle="1" w:styleId="69">
    <w:name w:val="标题 4 字符"/>
    <w:basedOn w:val="57"/>
    <w:qFormat/>
    <w:uiPriority w:val="0"/>
    <w:rPr>
      <w:rFonts w:ascii="Arial" w:hAnsi="Arial" w:eastAsia="黑体" w:cs="Times New Roman"/>
      <w:b/>
      <w:bCs/>
      <w:kern w:val="0"/>
      <w:sz w:val="28"/>
      <w:szCs w:val="28"/>
    </w:rPr>
  </w:style>
  <w:style w:type="character" w:customStyle="1" w:styleId="70">
    <w:name w:val="标题 5 Char1"/>
    <w:basedOn w:val="57"/>
    <w:link w:val="8"/>
    <w:qFormat/>
    <w:uiPriority w:val="0"/>
    <w:rPr>
      <w:rFonts w:ascii="Times New Roman" w:hAnsi="Times New Roman" w:eastAsia="宋体" w:cs="Times New Roman"/>
      <w:b/>
      <w:bCs/>
      <w:kern w:val="0"/>
      <w:sz w:val="28"/>
      <w:szCs w:val="28"/>
    </w:rPr>
  </w:style>
  <w:style w:type="character" w:customStyle="1" w:styleId="71">
    <w:name w:val="标题 6 Char1"/>
    <w:basedOn w:val="57"/>
    <w:link w:val="9"/>
    <w:qFormat/>
    <w:uiPriority w:val="0"/>
    <w:rPr>
      <w:rFonts w:ascii="Arial" w:hAnsi="Arial" w:eastAsia="黑体" w:cs="Times New Roman"/>
      <w:b/>
      <w:bCs/>
      <w:kern w:val="0"/>
      <w:sz w:val="24"/>
      <w:szCs w:val="24"/>
    </w:rPr>
  </w:style>
  <w:style w:type="character" w:customStyle="1" w:styleId="72">
    <w:name w:val="标题 7 Char"/>
    <w:basedOn w:val="57"/>
    <w:link w:val="10"/>
    <w:qFormat/>
    <w:uiPriority w:val="0"/>
    <w:rPr>
      <w:rFonts w:ascii="Times New Roman" w:hAnsi="Times New Roman" w:eastAsia="宋体" w:cs="Times New Roman"/>
      <w:b/>
      <w:bCs/>
      <w:kern w:val="0"/>
      <w:sz w:val="24"/>
      <w:szCs w:val="24"/>
    </w:rPr>
  </w:style>
  <w:style w:type="character" w:customStyle="1" w:styleId="73">
    <w:name w:val="标题 8 Char"/>
    <w:basedOn w:val="57"/>
    <w:link w:val="11"/>
    <w:qFormat/>
    <w:uiPriority w:val="0"/>
    <w:rPr>
      <w:rFonts w:ascii="Arial" w:hAnsi="Arial" w:eastAsia="黑体" w:cs="Times New Roman"/>
      <w:kern w:val="0"/>
      <w:sz w:val="24"/>
      <w:szCs w:val="24"/>
    </w:rPr>
  </w:style>
  <w:style w:type="character" w:customStyle="1" w:styleId="74">
    <w:name w:val="标题 9 Char"/>
    <w:basedOn w:val="57"/>
    <w:link w:val="12"/>
    <w:qFormat/>
    <w:uiPriority w:val="0"/>
    <w:rPr>
      <w:rFonts w:ascii="Arial" w:hAnsi="Arial" w:eastAsia="黑体" w:cs="Times New Roman"/>
      <w:kern w:val="0"/>
      <w:szCs w:val="21"/>
    </w:rPr>
  </w:style>
  <w:style w:type="character" w:customStyle="1" w:styleId="75">
    <w:name w:val="f141"/>
    <w:qFormat/>
    <w:uiPriority w:val="0"/>
    <w:rPr>
      <w:sz w:val="21"/>
      <w:szCs w:val="21"/>
    </w:rPr>
  </w:style>
  <w:style w:type="character" w:customStyle="1" w:styleId="76">
    <w:name w:val="p141"/>
    <w:qFormat/>
    <w:uiPriority w:val="0"/>
    <w:rPr>
      <w:sz w:val="21"/>
      <w:szCs w:val="21"/>
    </w:rPr>
  </w:style>
  <w:style w:type="character" w:customStyle="1" w:styleId="77">
    <w:name w:val="批注框文本 Char"/>
    <w:link w:val="33"/>
    <w:qFormat/>
    <w:locked/>
    <w:uiPriority w:val="0"/>
    <w:rPr>
      <w:rFonts w:eastAsia="宋体"/>
      <w:sz w:val="18"/>
    </w:rPr>
  </w:style>
  <w:style w:type="paragraph" w:customStyle="1" w:styleId="78">
    <w:name w:val="_Style 3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9">
    <w:name w:val="s10pv000000"/>
    <w:basedOn w:val="57"/>
    <w:qFormat/>
    <w:uiPriority w:val="0"/>
  </w:style>
  <w:style w:type="character" w:customStyle="1" w:styleId="80">
    <w:name w:val="纯文本 Char"/>
    <w:link w:val="2"/>
    <w:qFormat/>
    <w:uiPriority w:val="99"/>
    <w:rPr>
      <w:rFonts w:ascii="宋体" w:hAnsi="Courier New" w:cs="Courier New"/>
      <w:szCs w:val="21"/>
    </w:rPr>
  </w:style>
  <w:style w:type="character" w:customStyle="1" w:styleId="81">
    <w:name w:val="批注文字 Char2"/>
    <w:link w:val="18"/>
    <w:qFormat/>
    <w:uiPriority w:val="0"/>
    <w:rPr>
      <w:szCs w:val="24"/>
    </w:rPr>
  </w:style>
  <w:style w:type="paragraph" w:customStyle="1" w:styleId="82">
    <w:name w:val="样式 标题 4 + 段前: 5 磅 段后: 5 磅 行距: 单倍行距"/>
    <w:basedOn w:val="6"/>
    <w:qFormat/>
    <w:uiPriority w:val="0"/>
    <w:pPr>
      <w:widowControl w:val="0"/>
      <w:tabs>
        <w:tab w:val="left" w:pos="1680"/>
      </w:tabs>
      <w:adjustRightInd w:val="0"/>
      <w:spacing w:before="100" w:after="100" w:line="240" w:lineRule="auto"/>
      <w:ind w:left="1680" w:hanging="420"/>
      <w:textAlignment w:val="baseline"/>
    </w:pPr>
    <w:rPr>
      <w:bCs w:val="0"/>
      <w:szCs w:val="20"/>
    </w:rPr>
  </w:style>
  <w:style w:type="paragraph" w:customStyle="1" w:styleId="8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基准标题"/>
    <w:basedOn w:val="21"/>
    <w:next w:val="21"/>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85">
    <w:name w:val="表格"/>
    <w:basedOn w:val="1"/>
    <w:qFormat/>
    <w:uiPriority w:val="0"/>
    <w:pPr>
      <w:spacing w:line="420" w:lineRule="exact"/>
      <w:ind w:left="84" w:leftChars="40"/>
      <w:jc w:val="center"/>
    </w:pPr>
    <w:rPr>
      <w:rFonts w:ascii="宋体" w:hAnsi="宋体"/>
      <w:bCs/>
      <w:spacing w:val="-12"/>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87">
    <w:name w:val="样式4"/>
    <w:basedOn w:val="1"/>
    <w:qFormat/>
    <w:uiPriority w:val="0"/>
    <w:pPr>
      <w:tabs>
        <w:tab w:val="left" w:pos="2328"/>
      </w:tabs>
      <w:ind w:left="2328" w:hanging="708"/>
    </w:pPr>
  </w:style>
  <w:style w:type="paragraph" w:customStyle="1" w:styleId="8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89">
    <w:name w:val="3 Char"/>
    <w:basedOn w:val="1"/>
    <w:qFormat/>
    <w:uiPriority w:val="0"/>
    <w:pPr>
      <w:widowControl/>
      <w:spacing w:line="400" w:lineRule="exact"/>
      <w:jc w:val="center"/>
    </w:pPr>
    <w:rPr>
      <w:rFonts w:ascii="Verdana" w:hAnsi="Verdana"/>
      <w:kern w:val="0"/>
      <w:szCs w:val="20"/>
      <w:lang w:eastAsia="en-US"/>
    </w:rPr>
  </w:style>
  <w:style w:type="character" w:customStyle="1" w:styleId="90">
    <w:name w:val="批注文字 Char1"/>
    <w:basedOn w:val="57"/>
    <w:semiHidden/>
    <w:qFormat/>
    <w:uiPriority w:val="99"/>
    <w:rPr>
      <w:rFonts w:ascii="Times New Roman" w:hAnsi="Times New Roman" w:eastAsia="宋体" w:cs="Times New Roman"/>
      <w:szCs w:val="24"/>
    </w:rPr>
  </w:style>
  <w:style w:type="paragraph" w:customStyle="1" w:styleId="91">
    <w:name w:val="样式 标题 2 + 宋体 五号 非加粗 黑色"/>
    <w:basedOn w:val="4"/>
    <w:qFormat/>
    <w:uiPriority w:val="0"/>
    <w:pPr>
      <w:tabs>
        <w:tab w:val="left" w:pos="840"/>
      </w:tabs>
      <w:adjustRightInd w:val="0"/>
      <w:spacing w:line="416" w:lineRule="atLeast"/>
      <w:ind w:left="840" w:hanging="420"/>
      <w:jc w:val="left"/>
      <w:textAlignment w:val="baseline"/>
    </w:pPr>
    <w:rPr>
      <w:rFonts w:ascii="宋体" w:hAnsi="宋体" w:eastAsia="宋体"/>
      <w:b w:val="0"/>
      <w:bCs w:val="0"/>
      <w:color w:val="000000"/>
      <w:kern w:val="0"/>
      <w:sz w:val="21"/>
      <w:szCs w:val="20"/>
    </w:rPr>
  </w:style>
  <w:style w:type="paragraph" w:customStyle="1" w:styleId="92">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9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94">
    <w:name w:val="正文文本缩进 Char"/>
    <w:basedOn w:val="57"/>
    <w:link w:val="22"/>
    <w:qFormat/>
    <w:uiPriority w:val="0"/>
    <w:rPr>
      <w:rFonts w:ascii="Times New Roman" w:hAnsi="Times New Roman" w:eastAsia="宋体" w:cs="Times New Roman"/>
      <w:sz w:val="24"/>
      <w:szCs w:val="24"/>
    </w:rPr>
  </w:style>
  <w:style w:type="paragraph" w:customStyle="1" w:styleId="95">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96">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98">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99">
    <w:name w:val="正文文本 3 Char"/>
    <w:basedOn w:val="57"/>
    <w:link w:val="19"/>
    <w:qFormat/>
    <w:uiPriority w:val="99"/>
    <w:rPr>
      <w:rFonts w:ascii="Times New Roman" w:hAnsi="Times New Roman" w:eastAsia="宋体" w:cs="Times New Roman"/>
      <w:sz w:val="16"/>
      <w:szCs w:val="16"/>
    </w:rPr>
  </w:style>
  <w:style w:type="paragraph" w:customStyle="1" w:styleId="100">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01">
    <w:name w:val="列表段落1"/>
    <w:basedOn w:val="1"/>
    <w:link w:val="132"/>
    <w:qFormat/>
    <w:uiPriority w:val="34"/>
    <w:pPr>
      <w:ind w:firstLine="420" w:firstLineChars="200"/>
    </w:pPr>
  </w:style>
  <w:style w:type="paragraph" w:customStyle="1" w:styleId="102">
    <w:name w:val="默认段落字体 Para Char Char Char Char"/>
    <w:basedOn w:val="1"/>
    <w:qFormat/>
    <w:uiPriority w:val="0"/>
    <w:rPr>
      <w:szCs w:val="20"/>
    </w:rPr>
  </w:style>
  <w:style w:type="paragraph" w:customStyle="1" w:styleId="10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4">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05">
    <w:name w:val="批注主题 Char"/>
    <w:basedOn w:val="90"/>
    <w:link w:val="53"/>
    <w:semiHidden/>
    <w:qFormat/>
    <w:uiPriority w:val="0"/>
    <w:rPr>
      <w:rFonts w:ascii="Times New Roman" w:hAnsi="Times New Roman" w:eastAsia="宋体" w:cs="Times New Roman"/>
      <w:b/>
      <w:bCs/>
      <w:szCs w:val="24"/>
    </w:rPr>
  </w:style>
  <w:style w:type="character" w:customStyle="1" w:styleId="106">
    <w:name w:val="文档结构图 Char"/>
    <w:basedOn w:val="57"/>
    <w:link w:val="17"/>
    <w:qFormat/>
    <w:uiPriority w:val="0"/>
    <w:rPr>
      <w:rFonts w:ascii="Times New Roman" w:hAnsi="Times New Roman" w:eastAsia="宋体" w:cs="Times New Roman"/>
      <w:szCs w:val="20"/>
      <w:shd w:val="clear" w:color="auto" w:fill="000080"/>
    </w:rPr>
  </w:style>
  <w:style w:type="paragraph" w:customStyle="1" w:styleId="107">
    <w:name w:val="Char Char Char Char Char Char Char"/>
    <w:basedOn w:val="1"/>
    <w:qFormat/>
    <w:uiPriority w:val="0"/>
    <w:rPr>
      <w:rFonts w:ascii="Tahoma" w:hAnsi="Tahoma" w:cs="Tahoma"/>
      <w:sz w:val="30"/>
      <w:szCs w:val="30"/>
    </w:rPr>
  </w:style>
  <w:style w:type="paragraph" w:customStyle="1" w:styleId="108">
    <w:name w:val="样式 标题 3h3H3sect1.2.3 + 五号 段前: 6 磅 段后: 6 磅 行距: 单倍行距"/>
    <w:basedOn w:val="5"/>
    <w:qFormat/>
    <w:uiPriority w:val="0"/>
    <w:pPr>
      <w:keepLines/>
      <w:tabs>
        <w:tab w:val="left" w:pos="1260"/>
      </w:tabs>
      <w:adjustRightInd w:val="0"/>
      <w:spacing w:before="120" w:after="120"/>
      <w:ind w:left="1260" w:hanging="420"/>
      <w:jc w:val="left"/>
      <w:textAlignment w:val="baseline"/>
    </w:pPr>
    <w:rPr>
      <w:rFonts w:ascii="Times New Roman" w:hAnsi="Times New Roman" w:eastAsia="宋体"/>
      <w:bCs w:val="0"/>
      <w:kern w:val="0"/>
      <w:sz w:val="21"/>
      <w:szCs w:val="20"/>
    </w:rPr>
  </w:style>
  <w:style w:type="character" w:customStyle="1" w:styleId="109">
    <w:name w:val="正文文本 Char"/>
    <w:basedOn w:val="57"/>
    <w:link w:val="21"/>
    <w:qFormat/>
    <w:uiPriority w:val="0"/>
    <w:rPr>
      <w:rFonts w:ascii="Times New Roman" w:hAnsi="Times New Roman" w:eastAsia="宋体" w:cs="Times New Roman"/>
      <w:szCs w:val="24"/>
    </w:rPr>
  </w:style>
  <w:style w:type="character" w:customStyle="1" w:styleId="110">
    <w:name w:val="正文文本缩进 2 Char"/>
    <w:basedOn w:val="57"/>
    <w:link w:val="31"/>
    <w:qFormat/>
    <w:uiPriority w:val="0"/>
    <w:rPr>
      <w:rFonts w:ascii="Times New Roman" w:hAnsi="Times New Roman" w:eastAsia="宋体" w:cs="Times New Roman"/>
      <w:sz w:val="24"/>
      <w:szCs w:val="24"/>
    </w:rPr>
  </w:style>
  <w:style w:type="character" w:customStyle="1" w:styleId="111">
    <w:name w:val="纯文本 Char1"/>
    <w:basedOn w:val="57"/>
    <w:qFormat/>
    <w:uiPriority w:val="0"/>
    <w:rPr>
      <w:rFonts w:ascii="宋体" w:hAnsi="Courier New" w:eastAsia="宋体" w:cs="Courier New"/>
      <w:szCs w:val="21"/>
    </w:rPr>
  </w:style>
  <w:style w:type="character" w:customStyle="1" w:styleId="112">
    <w:name w:val="日期 Char"/>
    <w:basedOn w:val="57"/>
    <w:link w:val="30"/>
    <w:qFormat/>
    <w:uiPriority w:val="0"/>
    <w:rPr>
      <w:rFonts w:ascii="宋体" w:hAnsi="Times New Roman" w:eastAsia="宋体" w:cs="Times New Roman"/>
      <w:kern w:val="0"/>
      <w:szCs w:val="20"/>
    </w:rPr>
  </w:style>
  <w:style w:type="character" w:customStyle="1" w:styleId="113">
    <w:name w:val="批注框文本 Char1"/>
    <w:basedOn w:val="57"/>
    <w:semiHidden/>
    <w:qFormat/>
    <w:uiPriority w:val="99"/>
    <w:rPr>
      <w:rFonts w:ascii="Times New Roman" w:hAnsi="Times New Roman" w:eastAsia="宋体" w:cs="Times New Roman"/>
      <w:sz w:val="18"/>
      <w:szCs w:val="18"/>
    </w:rPr>
  </w:style>
  <w:style w:type="character" w:customStyle="1" w:styleId="114">
    <w:name w:val="HTML 预设格式 Char"/>
    <w:basedOn w:val="57"/>
    <w:link w:val="50"/>
    <w:qFormat/>
    <w:uiPriority w:val="0"/>
    <w:rPr>
      <w:rFonts w:ascii="黑体" w:hAnsi="Courier New" w:eastAsia="黑体" w:cs="Courier New"/>
      <w:kern w:val="0"/>
      <w:sz w:val="20"/>
      <w:szCs w:val="20"/>
    </w:rPr>
  </w:style>
  <w:style w:type="character" w:customStyle="1" w:styleId="115">
    <w:name w:val="正文文本缩进 3 Char"/>
    <w:basedOn w:val="57"/>
    <w:link w:val="44"/>
    <w:qFormat/>
    <w:uiPriority w:val="0"/>
    <w:rPr>
      <w:rFonts w:ascii="Times New Roman" w:hAnsi="Times New Roman" w:eastAsia="宋体" w:cs="Times New Roman"/>
      <w:sz w:val="16"/>
      <w:szCs w:val="16"/>
    </w:rPr>
  </w:style>
  <w:style w:type="paragraph" w:customStyle="1" w:styleId="116">
    <w:name w:val="Char1 Char Char Char"/>
    <w:basedOn w:val="1"/>
    <w:qFormat/>
    <w:uiPriority w:val="0"/>
    <w:rPr>
      <w:szCs w:val="20"/>
    </w:rPr>
  </w:style>
  <w:style w:type="paragraph" w:customStyle="1" w:styleId="117">
    <w:name w:val="Char1"/>
    <w:basedOn w:val="1"/>
    <w:qFormat/>
    <w:uiPriority w:val="0"/>
    <w:pPr>
      <w:widowControl/>
      <w:spacing w:after="160" w:line="240" w:lineRule="exact"/>
      <w:jc w:val="left"/>
    </w:pPr>
    <w:rPr>
      <w:sz w:val="24"/>
    </w:rPr>
  </w:style>
  <w:style w:type="paragraph" w:customStyle="1" w:styleId="118">
    <w:name w:val="默认段落字体 Para Char"/>
    <w:basedOn w:val="1"/>
    <w:qFormat/>
    <w:uiPriority w:val="0"/>
  </w:style>
  <w:style w:type="paragraph" w:customStyle="1" w:styleId="119">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20">
    <w:name w:val="TOC 标题1"/>
    <w:basedOn w:val="3"/>
    <w:next w:val="1"/>
    <w:qFormat/>
    <w:uiPriority w:val="39"/>
    <w:pPr>
      <w:keepLines/>
      <w:spacing w:before="480" w:line="276" w:lineRule="auto"/>
      <w:outlineLvl w:val="9"/>
    </w:pPr>
    <w:rPr>
      <w:rFonts w:ascii="Cambria" w:hAnsi="Cambria"/>
      <w:color w:val="365F91"/>
      <w:sz w:val="28"/>
      <w:szCs w:val="28"/>
    </w:rPr>
  </w:style>
  <w:style w:type="paragraph" w:customStyle="1" w:styleId="1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2">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23">
    <w:name w:val="Char Char2 Char"/>
    <w:basedOn w:val="1"/>
    <w:qFormat/>
    <w:uiPriority w:val="0"/>
    <w:rPr>
      <w:rFonts w:ascii="宋体" w:hAnsi="宋体"/>
      <w:b/>
      <w:sz w:val="28"/>
      <w:szCs w:val="28"/>
    </w:rPr>
  </w:style>
  <w:style w:type="character" w:customStyle="1" w:styleId="124">
    <w:name w:val="正文缩进 Char"/>
    <w:link w:val="7"/>
    <w:qFormat/>
    <w:uiPriority w:val="0"/>
    <w:rPr>
      <w:rFonts w:ascii="Times New Roman" w:hAnsi="Times New Roman" w:eastAsia="宋体" w:cs="Times New Roman"/>
      <w:szCs w:val="21"/>
    </w:rPr>
  </w:style>
  <w:style w:type="paragraph" w:customStyle="1" w:styleId="125">
    <w:name w:val="Char Char Char"/>
    <w:basedOn w:val="1"/>
    <w:qFormat/>
    <w:uiPriority w:val="0"/>
    <w:rPr>
      <w:rFonts w:ascii="宋体" w:hAnsi="宋体"/>
      <w:b/>
      <w:sz w:val="28"/>
      <w:szCs w:val="28"/>
    </w:rPr>
  </w:style>
  <w:style w:type="paragraph" w:customStyle="1" w:styleId="126">
    <w:name w:val="Char2"/>
    <w:basedOn w:val="1"/>
    <w:qFormat/>
    <w:uiPriority w:val="0"/>
    <w:pPr>
      <w:widowControl/>
      <w:spacing w:after="160" w:line="240" w:lineRule="exact"/>
      <w:jc w:val="left"/>
    </w:pPr>
    <w:rPr>
      <w:szCs w:val="20"/>
    </w:rPr>
  </w:style>
  <w:style w:type="paragraph" w:customStyle="1" w:styleId="127">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28">
    <w:name w:val="明显参考1"/>
    <w:qFormat/>
    <w:uiPriority w:val="32"/>
    <w:rPr>
      <w:b/>
      <w:bCs/>
      <w:smallCaps/>
      <w:color w:val="C0504D"/>
      <w:spacing w:val="5"/>
      <w:u w:val="single"/>
    </w:rPr>
  </w:style>
  <w:style w:type="paragraph" w:customStyle="1" w:styleId="1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30">
    <w:name w:val="Char Char2 Char1"/>
    <w:basedOn w:val="1"/>
    <w:qFormat/>
    <w:uiPriority w:val="0"/>
    <w:rPr>
      <w:rFonts w:ascii="宋体" w:hAnsi="宋体"/>
      <w:b/>
      <w:sz w:val="28"/>
      <w:szCs w:val="28"/>
    </w:rPr>
  </w:style>
  <w:style w:type="character" w:customStyle="1" w:styleId="131">
    <w:name w:val="apple-converted-space"/>
    <w:basedOn w:val="57"/>
    <w:qFormat/>
    <w:uiPriority w:val="0"/>
  </w:style>
  <w:style w:type="character" w:customStyle="1" w:styleId="132">
    <w:name w:val="列表段落 字符"/>
    <w:link w:val="101"/>
    <w:qFormat/>
    <w:uiPriority w:val="34"/>
    <w:rPr>
      <w:rFonts w:ascii="Times New Roman" w:hAnsi="Times New Roman" w:eastAsia="宋体" w:cs="Times New Roman"/>
      <w:szCs w:val="24"/>
    </w:rPr>
  </w:style>
  <w:style w:type="character" w:customStyle="1" w:styleId="133">
    <w:name w:val="正文首行缩进 Char"/>
    <w:basedOn w:val="109"/>
    <w:link w:val="54"/>
    <w:qFormat/>
    <w:uiPriority w:val="99"/>
    <w:rPr>
      <w:rFonts w:ascii="Times New Roman" w:hAnsi="Times New Roman" w:eastAsia="宋体" w:cs="Times New Roman"/>
      <w:szCs w:val="24"/>
    </w:rPr>
  </w:style>
  <w:style w:type="paragraph" w:customStyle="1" w:styleId="134">
    <w:name w:val="标题 1_0"/>
    <w:next w:val="1"/>
    <w:qFormat/>
    <w:uiPriority w:val="0"/>
    <w:pPr>
      <w:keepNext/>
      <w:keepLines/>
      <w:numPr>
        <w:ilvl w:val="0"/>
        <w:numId w:val="1"/>
      </w:numPr>
      <w:spacing w:line="360" w:lineRule="auto"/>
      <w:outlineLvl w:val="0"/>
    </w:pPr>
    <w:rPr>
      <w:rFonts w:ascii="Cambria Math" w:hAnsi="Cambria Math" w:eastAsia="宋体" w:cs="Cambria Math"/>
      <w:b/>
      <w:bCs/>
      <w:kern w:val="44"/>
      <w:sz w:val="24"/>
      <w:szCs w:val="44"/>
      <w:lang w:val="en-US" w:eastAsia="zh-CN" w:bidi="ar-SA"/>
    </w:rPr>
  </w:style>
  <w:style w:type="paragraph" w:customStyle="1" w:styleId="135">
    <w:name w:val="标题 2_0"/>
    <w:basedOn w:val="1"/>
    <w:next w:val="1"/>
    <w:qFormat/>
    <w:uiPriority w:val="0"/>
    <w:pPr>
      <w:keepNext/>
      <w:keepLines/>
      <w:numPr>
        <w:ilvl w:val="1"/>
        <w:numId w:val="1"/>
      </w:numPr>
      <w:tabs>
        <w:tab w:val="left" w:pos="576"/>
      </w:tabs>
      <w:spacing w:line="360" w:lineRule="auto"/>
      <w:jc w:val="left"/>
      <w:outlineLvl w:val="1"/>
    </w:pPr>
    <w:rPr>
      <w:rFonts w:ascii="宋体" w:hAnsi="宋体"/>
      <w:b/>
      <w:bCs/>
      <w:sz w:val="24"/>
      <w:szCs w:val="36"/>
    </w:rPr>
  </w:style>
  <w:style w:type="paragraph" w:customStyle="1" w:styleId="136">
    <w:name w:val="标题 3_0"/>
    <w:basedOn w:val="1"/>
    <w:next w:val="1"/>
    <w:qFormat/>
    <w:uiPriority w:val="0"/>
    <w:pPr>
      <w:keepNext/>
      <w:keepLines/>
      <w:numPr>
        <w:ilvl w:val="2"/>
        <w:numId w:val="1"/>
      </w:numPr>
      <w:adjustRightInd w:val="0"/>
      <w:snapToGrid w:val="0"/>
      <w:spacing w:line="360" w:lineRule="auto"/>
      <w:jc w:val="left"/>
      <w:outlineLvl w:val="2"/>
    </w:pPr>
    <w:rPr>
      <w:rFonts w:ascii="宋体" w:hAnsi="宋体"/>
      <w:b/>
      <w:bCs/>
      <w:sz w:val="24"/>
      <w:szCs w:val="32"/>
    </w:rPr>
  </w:style>
  <w:style w:type="paragraph" w:customStyle="1" w:styleId="137">
    <w:name w:val="标题 5_0"/>
    <w:basedOn w:val="1"/>
    <w:next w:val="1"/>
    <w:link w:val="165"/>
    <w:qFormat/>
    <w:uiPriority w:val="0"/>
    <w:pPr>
      <w:keepNext/>
      <w:keepLines/>
      <w:numPr>
        <w:ilvl w:val="4"/>
        <w:numId w:val="1"/>
      </w:numPr>
      <w:spacing w:line="360" w:lineRule="auto"/>
      <w:jc w:val="left"/>
      <w:outlineLvl w:val="4"/>
    </w:pPr>
    <w:rPr>
      <w:rFonts w:ascii="宋体" w:hAnsi="宋体" w:cs="Cambria Math"/>
      <w:b/>
      <w:bCs/>
      <w:sz w:val="24"/>
      <w:szCs w:val="28"/>
    </w:rPr>
  </w:style>
  <w:style w:type="paragraph" w:customStyle="1" w:styleId="138">
    <w:name w:val="标题 6_0"/>
    <w:basedOn w:val="1"/>
    <w:next w:val="1"/>
    <w:qFormat/>
    <w:uiPriority w:val="9"/>
    <w:pPr>
      <w:keepNext/>
      <w:keepLines/>
      <w:numPr>
        <w:ilvl w:val="5"/>
        <w:numId w:val="1"/>
      </w:numPr>
      <w:spacing w:line="360" w:lineRule="auto"/>
      <w:jc w:val="left"/>
      <w:outlineLvl w:val="5"/>
    </w:pPr>
    <w:rPr>
      <w:rFonts w:ascii="Bodoni MT Condensed" w:hAnsi="Bodoni MT Condensed" w:cs="Cambria Math"/>
      <w:b/>
      <w:bCs/>
      <w:sz w:val="24"/>
    </w:rPr>
  </w:style>
  <w:style w:type="paragraph" w:customStyle="1" w:styleId="139">
    <w:name w:val="标题 7_0"/>
    <w:basedOn w:val="1"/>
    <w:next w:val="1"/>
    <w:qFormat/>
    <w:uiPriority w:val="9"/>
    <w:pPr>
      <w:keepNext/>
      <w:keepLines/>
      <w:numPr>
        <w:ilvl w:val="6"/>
        <w:numId w:val="1"/>
      </w:numPr>
      <w:spacing w:before="240" w:after="64" w:line="319" w:lineRule="auto"/>
      <w:outlineLvl w:val="6"/>
    </w:pPr>
    <w:rPr>
      <w:rFonts w:ascii="Cambria Math" w:hAnsi="Cambria Math" w:cs="Cambria Math"/>
      <w:b/>
      <w:bCs/>
      <w:sz w:val="24"/>
    </w:rPr>
  </w:style>
  <w:style w:type="paragraph" w:customStyle="1" w:styleId="140">
    <w:name w:val="标题 8_0"/>
    <w:basedOn w:val="1"/>
    <w:next w:val="1"/>
    <w:qFormat/>
    <w:uiPriority w:val="0"/>
    <w:pPr>
      <w:keepNext/>
      <w:keepLines/>
      <w:numPr>
        <w:ilvl w:val="7"/>
        <w:numId w:val="1"/>
      </w:numPr>
      <w:spacing w:before="240" w:after="64" w:line="319" w:lineRule="auto"/>
      <w:outlineLvl w:val="7"/>
    </w:pPr>
    <w:rPr>
      <w:rFonts w:ascii="Bodoni MT Condensed" w:hAnsi="Bodoni MT Condensed" w:cs="Cambria Math"/>
      <w:sz w:val="24"/>
    </w:rPr>
  </w:style>
  <w:style w:type="paragraph" w:customStyle="1" w:styleId="141">
    <w:name w:val="标题 9_0"/>
    <w:basedOn w:val="1"/>
    <w:next w:val="1"/>
    <w:qFormat/>
    <w:uiPriority w:val="0"/>
    <w:pPr>
      <w:keepNext/>
      <w:keepLines/>
      <w:numPr>
        <w:ilvl w:val="8"/>
        <w:numId w:val="1"/>
      </w:numPr>
      <w:spacing w:before="240" w:after="64" w:line="319" w:lineRule="auto"/>
      <w:outlineLvl w:val="8"/>
    </w:pPr>
    <w:rPr>
      <w:rFonts w:ascii="Bodoni MT Condensed" w:hAnsi="Bodoni MT Condensed" w:cs="Cambria Math"/>
      <w:sz w:val="24"/>
      <w:szCs w:val="21"/>
    </w:rPr>
  </w:style>
  <w:style w:type="paragraph" w:customStyle="1" w:styleId="142">
    <w:name w:val="正文_0_0"/>
    <w:qFormat/>
    <w:uiPriority w:val="0"/>
    <w:pPr>
      <w:widowControl w:val="0"/>
      <w:spacing w:line="360" w:lineRule="auto"/>
      <w:ind w:firstLine="200" w:firstLineChars="200"/>
      <w:jc w:val="both"/>
    </w:pPr>
    <w:rPr>
      <w:rFonts w:ascii="Cambria Math" w:hAnsi="Cambria Math" w:eastAsia="宋体" w:cs="Cambria Math"/>
      <w:kern w:val="2"/>
      <w:sz w:val="24"/>
      <w:szCs w:val="24"/>
      <w:lang w:val="en-US" w:eastAsia="zh-CN" w:bidi="ar-SA"/>
    </w:rPr>
  </w:style>
  <w:style w:type="paragraph" w:customStyle="1" w:styleId="14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5">
    <w:name w:val="p141_0"/>
    <w:qFormat/>
    <w:uiPriority w:val="0"/>
    <w:rPr>
      <w:rFonts w:ascii="Calibri" w:hAnsi="Calibri"/>
      <w:sz w:val="21"/>
      <w:szCs w:val="21"/>
    </w:rPr>
  </w:style>
  <w:style w:type="paragraph" w:customStyle="1" w:styleId="146">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47">
    <w:name w:val="Normal_13"/>
    <w:qFormat/>
    <w:uiPriority w:val="0"/>
    <w:rPr>
      <w:rFonts w:ascii="Times New Roman" w:hAnsi="Times New Roman" w:eastAsia="宋体" w:cs="Times New Roman"/>
      <w:sz w:val="21"/>
      <w:lang w:val="en-US" w:eastAsia="zh-CN" w:bidi="ar-SA"/>
    </w:rPr>
  </w:style>
  <w:style w:type="paragraph" w:customStyle="1" w:styleId="148">
    <w:name w:val="样式1_1"/>
    <w:basedOn w:val="1"/>
    <w:link w:val="150"/>
    <w:qFormat/>
    <w:uiPriority w:val="0"/>
    <w:pPr>
      <w:keepNext/>
      <w:keepLines/>
      <w:widowControl/>
      <w:tabs>
        <w:tab w:val="left" w:pos="420"/>
      </w:tabs>
      <w:adjustRightInd w:val="0"/>
      <w:snapToGrid w:val="0"/>
      <w:spacing w:line="360" w:lineRule="auto"/>
      <w:ind w:left="420" w:hanging="420"/>
      <w:jc w:val="center"/>
      <w:outlineLvl w:val="1"/>
    </w:pPr>
    <w:rPr>
      <w:rFonts w:ascii="宋体" w:hAnsi="Arial"/>
      <w:b/>
      <w:kern w:val="0"/>
      <w:sz w:val="32"/>
      <w:szCs w:val="20"/>
    </w:rPr>
  </w:style>
  <w:style w:type="paragraph" w:customStyle="1" w:styleId="149">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样式1 Char_1"/>
    <w:link w:val="148"/>
    <w:qFormat/>
    <w:uiPriority w:val="0"/>
    <w:rPr>
      <w:rFonts w:ascii="宋体" w:hAnsi="Arial" w:eastAsia="宋体" w:cs="Times New Roman"/>
      <w:b/>
      <w:kern w:val="0"/>
      <w:sz w:val="32"/>
      <w:szCs w:val="20"/>
      <w:lang w:val="en-US" w:eastAsia="zh-CN"/>
    </w:rPr>
  </w:style>
  <w:style w:type="character" w:customStyle="1" w:styleId="151">
    <w:name w:val="页脚 Char"/>
    <w:qFormat/>
    <w:uiPriority w:val="0"/>
    <w:rPr>
      <w:rFonts w:ascii="Times New Roman" w:hAnsi="Times New Roman" w:eastAsia="宋体" w:cs="Times New Roman"/>
      <w:sz w:val="18"/>
      <w:szCs w:val="18"/>
    </w:rPr>
  </w:style>
  <w:style w:type="paragraph" w:customStyle="1" w:styleId="152">
    <w:name w:val="列出段落1"/>
    <w:basedOn w:val="1"/>
    <w:link w:val="155"/>
    <w:qFormat/>
    <w:uiPriority w:val="1"/>
    <w:pPr>
      <w:autoSpaceDE w:val="0"/>
      <w:autoSpaceDN w:val="0"/>
      <w:adjustRightInd w:val="0"/>
      <w:ind w:firstLine="420" w:firstLineChars="200"/>
      <w:jc w:val="left"/>
    </w:pPr>
    <w:rPr>
      <w:kern w:val="0"/>
      <w:sz w:val="20"/>
      <w:szCs w:val="20"/>
      <w:lang w:val="zh-CN"/>
    </w:rPr>
  </w:style>
  <w:style w:type="character" w:customStyle="1" w:styleId="153">
    <w:name w:val="批注文字 Char"/>
    <w:basedOn w:val="57"/>
    <w:qFormat/>
    <w:uiPriority w:val="0"/>
  </w:style>
  <w:style w:type="character" w:customStyle="1" w:styleId="154">
    <w:name w:val="标题 6 Char"/>
    <w:qFormat/>
    <w:uiPriority w:val="0"/>
    <w:rPr>
      <w:rFonts w:ascii="Arial" w:hAnsi="Arial" w:eastAsia="黑体"/>
      <w:b/>
      <w:bCs/>
      <w:sz w:val="24"/>
      <w:szCs w:val="24"/>
    </w:rPr>
  </w:style>
  <w:style w:type="character" w:customStyle="1" w:styleId="155">
    <w:name w:val="List Paragraph Char"/>
    <w:link w:val="152"/>
    <w:qFormat/>
    <w:locked/>
    <w:uiPriority w:val="34"/>
    <w:rPr>
      <w:rFonts w:ascii="Times New Roman" w:hAnsi="Times New Roman" w:eastAsia="宋体" w:cs="Times New Roman"/>
      <w:kern w:val="0"/>
      <w:sz w:val="20"/>
      <w:szCs w:val="20"/>
      <w:lang w:val="zh-CN"/>
    </w:rPr>
  </w:style>
  <w:style w:type="paragraph" w:customStyle="1" w:styleId="156">
    <w:name w:val="Char1 Char Char Char1"/>
    <w:basedOn w:val="1"/>
    <w:next w:val="1"/>
    <w:qFormat/>
    <w:uiPriority w:val="0"/>
    <w:pPr>
      <w:autoSpaceDE w:val="0"/>
      <w:autoSpaceDN w:val="0"/>
      <w:adjustRightInd w:val="0"/>
      <w:spacing w:line="360" w:lineRule="auto"/>
      <w:ind w:firstLine="200" w:firstLineChars="200"/>
      <w:jc w:val="left"/>
    </w:pPr>
    <w:rPr>
      <w:rFonts w:ascii="宋体" w:hAnsi="宋体" w:eastAsia="汉鼎简书宋" w:cs="宋体"/>
      <w:kern w:val="0"/>
      <w:sz w:val="24"/>
    </w:rPr>
  </w:style>
  <w:style w:type="table" w:customStyle="1" w:styleId="157">
    <w:name w:val="Table Normal"/>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158">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59">
    <w:name w:val="题注4"/>
    <w:basedOn w:val="1"/>
    <w:next w:val="16"/>
    <w:qFormat/>
    <w:uiPriority w:val="0"/>
    <w:pPr>
      <w:ind w:left="-132" w:leftChars="-64" w:right="-105" w:rightChars="-50" w:hanging="2"/>
      <w:jc w:val="center"/>
    </w:pPr>
    <w:rPr>
      <w:rFonts w:ascii="Calibri" w:hAnsi="Calibri"/>
      <w:b/>
      <w:color w:val="FF0000"/>
      <w:szCs w:val="21"/>
      <w:lang w:val="en-GB"/>
    </w:rPr>
  </w:style>
  <w:style w:type="paragraph" w:customStyle="1" w:styleId="160">
    <w:name w:val="列表段落2"/>
    <w:basedOn w:val="1"/>
    <w:qFormat/>
    <w:uiPriority w:val="1"/>
    <w:pPr>
      <w:ind w:firstLine="420" w:firstLineChars="200"/>
    </w:pPr>
  </w:style>
  <w:style w:type="character" w:customStyle="1" w:styleId="161">
    <w:name w:val="Char Char1"/>
    <w:qFormat/>
    <w:uiPriority w:val="0"/>
    <w:rPr>
      <w:rFonts w:ascii="宋体" w:hAnsi="宋体" w:eastAsia="宋体"/>
      <w:kern w:val="2"/>
      <w:sz w:val="18"/>
      <w:szCs w:val="18"/>
      <w:lang w:val="en-US" w:eastAsia="zh-CN" w:bidi="ar-SA"/>
    </w:rPr>
  </w:style>
  <w:style w:type="character" w:customStyle="1" w:styleId="162">
    <w:name w:val="Char Char8"/>
    <w:qFormat/>
    <w:uiPriority w:val="0"/>
    <w:rPr>
      <w:rFonts w:ascii="宋体" w:hAnsi="Courier New" w:eastAsia="宋体" w:cs="Courier New"/>
      <w:kern w:val="2"/>
      <w:sz w:val="21"/>
      <w:szCs w:val="21"/>
      <w:lang w:val="en-US" w:eastAsia="zh-CN" w:bidi="ar-SA"/>
    </w:rPr>
  </w:style>
  <w:style w:type="character" w:customStyle="1" w:styleId="163">
    <w:name w:val="Char Char13"/>
    <w:qFormat/>
    <w:uiPriority w:val="0"/>
    <w:rPr>
      <w:rFonts w:ascii="宋体" w:hAnsi="Courier New" w:eastAsia="宋体" w:cs="Courier New"/>
      <w:szCs w:val="21"/>
    </w:rPr>
  </w:style>
  <w:style w:type="character" w:customStyle="1" w:styleId="164">
    <w:name w:val="标题 2 Char"/>
    <w:qFormat/>
    <w:uiPriority w:val="0"/>
    <w:rPr>
      <w:rFonts w:ascii="宋体" w:hAnsi="Arial" w:eastAsia="宋体" w:cs="Arial"/>
      <w:b/>
      <w:bCs/>
      <w:color w:val="000000"/>
      <w:kern w:val="2"/>
      <w:sz w:val="28"/>
      <w:szCs w:val="28"/>
      <w:lang w:val="en-US" w:eastAsia="zh-CN" w:bidi="ar-SA"/>
    </w:rPr>
  </w:style>
  <w:style w:type="character" w:customStyle="1" w:styleId="165">
    <w:name w:val="标题 5 Char"/>
    <w:link w:val="137"/>
    <w:qFormat/>
    <w:locked/>
    <w:uiPriority w:val="0"/>
    <w:rPr>
      <w:rFonts w:ascii="宋体" w:hAnsi="宋体" w:eastAsia="宋体" w:cs="Cambria Math"/>
      <w:b/>
      <w:bCs/>
      <w:kern w:val="2"/>
      <w:sz w:val="24"/>
      <w:szCs w:val="28"/>
    </w:rPr>
  </w:style>
  <w:style w:type="character" w:customStyle="1" w:styleId="166">
    <w:name w:val="列出段落 Char1"/>
    <w:qFormat/>
    <w:uiPriority w:val="34"/>
    <w:rPr>
      <w:rFonts w:ascii="Calibri" w:hAnsi="Calibri"/>
      <w:kern w:val="2"/>
      <w:sz w:val="21"/>
      <w:szCs w:val="24"/>
    </w:rPr>
  </w:style>
  <w:style w:type="character" w:customStyle="1" w:styleId="167">
    <w:name w:val="正文缩进 Char Char"/>
    <w:qFormat/>
    <w:uiPriority w:val="0"/>
    <w:rPr>
      <w:rFonts w:eastAsia="宋体"/>
      <w:kern w:val="2"/>
      <w:sz w:val="21"/>
      <w:szCs w:val="24"/>
      <w:lang w:val="en-US" w:eastAsia="zh-CN" w:bidi="ar-SA"/>
    </w:rPr>
  </w:style>
  <w:style w:type="character" w:customStyle="1" w:styleId="168">
    <w:name w:val="正文文本 Char2"/>
    <w:semiHidden/>
    <w:qFormat/>
    <w:uiPriority w:val="0"/>
    <w:rPr>
      <w:rFonts w:ascii="Tahoma" w:hAnsi="Tahoma"/>
      <w:kern w:val="2"/>
      <w:sz w:val="24"/>
      <w:szCs w:val="24"/>
    </w:rPr>
  </w:style>
  <w:style w:type="character" w:customStyle="1" w:styleId="169">
    <w:name w:val="列出段落 Char"/>
    <w:link w:val="170"/>
    <w:qFormat/>
    <w:uiPriority w:val="0"/>
    <w:rPr>
      <w:kern w:val="2"/>
      <w:sz w:val="21"/>
      <w:szCs w:val="24"/>
    </w:rPr>
  </w:style>
  <w:style w:type="paragraph" w:customStyle="1" w:styleId="170">
    <w:name w:val="列出段落2"/>
    <w:basedOn w:val="1"/>
    <w:link w:val="169"/>
    <w:qFormat/>
    <w:uiPriority w:val="0"/>
    <w:pPr>
      <w:ind w:firstLine="420" w:firstLineChars="200"/>
    </w:pPr>
    <w:rPr>
      <w:rFonts w:asciiTheme="minorHAnsi" w:hAnsiTheme="minorHAnsi" w:eastAsiaTheme="minorEastAsia" w:cstheme="minorBidi"/>
    </w:rPr>
  </w:style>
  <w:style w:type="character" w:customStyle="1" w:styleId="171">
    <w:name w:val="A4"/>
    <w:qFormat/>
    <w:uiPriority w:val="0"/>
    <w:rPr>
      <w:rFonts w:hint="eastAsia" w:ascii="新宋体" w:hAnsi="新宋体" w:eastAsia="新宋体" w:cs="新宋体"/>
      <w:color w:val="000000"/>
    </w:rPr>
  </w:style>
  <w:style w:type="character" w:customStyle="1" w:styleId="172">
    <w:name w:val="普通文字1 Char"/>
    <w:qFormat/>
    <w:uiPriority w:val="0"/>
    <w:rPr>
      <w:rFonts w:ascii="宋体" w:hAnsi="Courier New" w:eastAsia="宋体"/>
      <w:kern w:val="2"/>
      <w:sz w:val="21"/>
      <w:lang w:val="en-US" w:eastAsia="zh-CN" w:bidi="ar-SA"/>
    </w:rPr>
  </w:style>
  <w:style w:type="character" w:customStyle="1" w:styleId="173">
    <w:name w:val="表正文 Char1"/>
    <w:qFormat/>
    <w:uiPriority w:val="0"/>
    <w:rPr>
      <w:rFonts w:eastAsia="宋体"/>
      <w:kern w:val="2"/>
      <w:sz w:val="21"/>
      <w:szCs w:val="24"/>
      <w:lang w:val="en-US" w:eastAsia="zh-CN" w:bidi="ar-SA"/>
    </w:rPr>
  </w:style>
  <w:style w:type="character" w:customStyle="1" w:styleId="174">
    <w:name w:val="一般文字 字元 Char"/>
    <w:qFormat/>
    <w:uiPriority w:val="0"/>
    <w:rPr>
      <w:rFonts w:ascii="宋体" w:hAnsi="Courier New" w:eastAsia="宋体" w:cs="Courier New"/>
      <w:kern w:val="2"/>
      <w:sz w:val="21"/>
      <w:szCs w:val="21"/>
      <w:lang w:val="en-US" w:eastAsia="zh-CN" w:bidi="ar-SA"/>
    </w:rPr>
  </w:style>
  <w:style w:type="paragraph" w:customStyle="1" w:styleId="175">
    <w:name w:val="五级无标题条"/>
    <w:basedOn w:val="1"/>
    <w:qFormat/>
    <w:uiPriority w:val="0"/>
    <w:rPr>
      <w:szCs w:val="21"/>
    </w:rPr>
  </w:style>
  <w:style w:type="paragraph" w:customStyle="1" w:styleId="176">
    <w:name w:val="Char Char2 Char2"/>
    <w:basedOn w:val="1"/>
    <w:qFormat/>
    <w:uiPriority w:val="0"/>
    <w:rPr>
      <w:rFonts w:ascii="宋体" w:hAnsi="宋体"/>
      <w:b/>
      <w:sz w:val="28"/>
      <w:szCs w:val="28"/>
    </w:rPr>
  </w:style>
  <w:style w:type="paragraph" w:customStyle="1" w:styleId="177">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78">
    <w:name w:val="标书正文"/>
    <w:basedOn w:val="1"/>
    <w:qFormat/>
    <w:uiPriority w:val="0"/>
    <w:pPr>
      <w:ind w:firstLine="200" w:firstLineChars="200"/>
    </w:pPr>
  </w:style>
  <w:style w:type="paragraph" w:customStyle="1" w:styleId="179">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180">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18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82">
    <w:name w:val="p0"/>
    <w:basedOn w:val="1"/>
    <w:qFormat/>
    <w:uiPriority w:val="0"/>
    <w:pPr>
      <w:widowControl/>
    </w:pPr>
    <w:rPr>
      <w:kern w:val="0"/>
      <w:szCs w:val="21"/>
    </w:rPr>
  </w:style>
  <w:style w:type="paragraph" w:customStyle="1" w:styleId="183">
    <w:name w:val="四级无标题条"/>
    <w:basedOn w:val="1"/>
    <w:qFormat/>
    <w:uiPriority w:val="0"/>
    <w:rPr>
      <w:szCs w:val="21"/>
    </w:rPr>
  </w:style>
  <w:style w:type="paragraph" w:customStyle="1" w:styleId="184">
    <w:name w:val="封面空格"/>
    <w:basedOn w:val="1"/>
    <w:qFormat/>
    <w:uiPriority w:val="0"/>
    <w:pPr>
      <w:spacing w:line="360" w:lineRule="auto"/>
      <w:jc w:val="distribute"/>
    </w:pPr>
    <w:rPr>
      <w:rFonts w:ascii="宋体"/>
      <w:b/>
      <w:sz w:val="58"/>
    </w:rPr>
  </w:style>
  <w:style w:type="paragraph" w:customStyle="1" w:styleId="185">
    <w:name w:val="正文标题"/>
    <w:basedOn w:val="1"/>
    <w:qFormat/>
    <w:uiPriority w:val="0"/>
    <w:pPr>
      <w:spacing w:before="156" w:beforeLines="50" w:after="156" w:afterLines="50" w:line="360" w:lineRule="auto"/>
      <w:ind w:left="105" w:leftChars="50" w:right="105" w:rightChars="50"/>
      <w:jc w:val="center"/>
    </w:pPr>
    <w:rPr>
      <w:b/>
      <w:snapToGrid w:val="0"/>
      <w:spacing w:val="40"/>
      <w:kern w:val="0"/>
      <w:sz w:val="30"/>
      <w:szCs w:val="32"/>
    </w:rPr>
  </w:style>
  <w:style w:type="paragraph" w:customStyle="1" w:styleId="186">
    <w:name w:val="封面2"/>
    <w:basedOn w:val="1"/>
    <w:qFormat/>
    <w:uiPriority w:val="0"/>
    <w:pPr>
      <w:spacing w:line="360" w:lineRule="auto"/>
      <w:jc w:val="center"/>
    </w:pPr>
    <w:rPr>
      <w:rFonts w:ascii="黑体" w:hAnsi="宋体" w:eastAsia="黑体"/>
      <w:b/>
      <w:spacing w:val="-30"/>
      <w:sz w:val="96"/>
    </w:rPr>
  </w:style>
  <w:style w:type="paragraph" w:customStyle="1" w:styleId="187">
    <w:name w:val="4"/>
    <w:basedOn w:val="1"/>
    <w:next w:val="2"/>
    <w:qFormat/>
    <w:uiPriority w:val="0"/>
    <w:rPr>
      <w:rFonts w:ascii="宋体" w:hAnsi="Courier New"/>
      <w:szCs w:val="20"/>
    </w:rPr>
  </w:style>
  <w:style w:type="paragraph" w:customStyle="1" w:styleId="188">
    <w:name w:val="批注主题[858D7CFB-ED40-4347-BF05-701D383B685F][858D7CFB-ED40-4347-BF05-701D383B685F]"/>
    <w:basedOn w:val="18"/>
    <w:next w:val="18"/>
    <w:qFormat/>
    <w:uiPriority w:val="0"/>
    <w:rPr>
      <w:rFonts w:ascii="Times New Roman" w:hAnsi="Times New Roman" w:eastAsia="宋体" w:cs="Times New Roman"/>
      <w:b/>
      <w:bCs/>
    </w:rPr>
  </w:style>
  <w:style w:type="paragraph" w:customStyle="1" w:styleId="18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元正正文标题2"/>
    <w:basedOn w:val="6"/>
    <w:qFormat/>
    <w:uiPriority w:val="0"/>
    <w:pPr>
      <w:keepNext w:val="0"/>
      <w:keepLines w:val="0"/>
      <w:widowControl w:val="0"/>
      <w:adjustRightInd w:val="0"/>
      <w:snapToGrid w:val="0"/>
      <w:spacing w:before="0" w:after="0" w:line="300" w:lineRule="auto"/>
      <w:jc w:val="center"/>
      <w:outlineLvl w:val="9"/>
    </w:pPr>
    <w:rPr>
      <w:rFonts w:ascii="宋体" w:hAnsi="宋体" w:eastAsia="宋体"/>
      <w:bCs w:val="0"/>
      <w:kern w:val="2"/>
    </w:rPr>
  </w:style>
  <w:style w:type="paragraph" w:customStyle="1" w:styleId="191">
    <w:name w:val="一级无标题条"/>
    <w:basedOn w:val="1"/>
    <w:qFormat/>
    <w:uiPriority w:val="0"/>
    <w:rPr>
      <w:szCs w:val="21"/>
    </w:rPr>
  </w:style>
  <w:style w:type="paragraph" w:customStyle="1" w:styleId="192">
    <w:name w:val="样式3"/>
    <w:basedOn w:val="5"/>
    <w:qFormat/>
    <w:uiPriority w:val="0"/>
    <w:pPr>
      <w:keepLines/>
      <w:tabs>
        <w:tab w:val="left" w:pos="1418"/>
      </w:tabs>
      <w:spacing w:before="260" w:after="260" w:line="413" w:lineRule="auto"/>
      <w:ind w:left="1418" w:hanging="567"/>
    </w:pPr>
    <w:rPr>
      <w:rFonts w:ascii="Times New Roman" w:hAnsi="Times New Roman" w:eastAsia="宋体"/>
      <w:szCs w:val="32"/>
    </w:rPr>
  </w:style>
  <w:style w:type="paragraph" w:customStyle="1" w:styleId="193">
    <w:name w:val="Char Char Char1 Char"/>
    <w:basedOn w:val="17"/>
    <w:qFormat/>
    <w:uiPriority w:val="0"/>
    <w:rPr>
      <w:rFonts w:ascii="Tahoma" w:hAnsi="Tahoma"/>
      <w:sz w:val="24"/>
      <w:szCs w:val="24"/>
    </w:rPr>
  </w:style>
  <w:style w:type="paragraph" w:customStyle="1" w:styleId="19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5">
    <w:name w:val="1"/>
    <w:basedOn w:val="1"/>
    <w:next w:val="2"/>
    <w:qFormat/>
    <w:uiPriority w:val="0"/>
    <w:rPr>
      <w:rFonts w:ascii="宋体" w:hAnsi="Courier New"/>
      <w:szCs w:val="20"/>
    </w:rPr>
  </w:style>
  <w:style w:type="paragraph" w:customStyle="1" w:styleId="196">
    <w:name w:val="表格文字"/>
    <w:basedOn w:val="1"/>
    <w:next w:val="21"/>
    <w:qFormat/>
    <w:uiPriority w:val="0"/>
    <w:pPr>
      <w:spacing w:before="25" w:after="25"/>
      <w:jc w:val="left"/>
    </w:pPr>
    <w:rPr>
      <w:bCs/>
      <w:spacing w:val="10"/>
      <w:kern w:val="0"/>
      <w:sz w:val="24"/>
      <w:szCs w:val="20"/>
    </w:rPr>
  </w:style>
  <w:style w:type="paragraph" w:customStyle="1" w:styleId="197">
    <w:name w:val="标准正文1"/>
    <w:basedOn w:val="1"/>
    <w:qFormat/>
    <w:uiPriority w:val="0"/>
    <w:pPr>
      <w:spacing w:line="360" w:lineRule="auto"/>
      <w:ind w:firstLine="200" w:firstLineChars="200"/>
    </w:pPr>
    <w:rPr>
      <w:rFonts w:ascii="宋体" w:hAnsi="宋体"/>
      <w:snapToGrid w:val="0"/>
      <w:kern w:val="0"/>
      <w:sz w:val="24"/>
    </w:rPr>
  </w:style>
  <w:style w:type="paragraph" w:customStyle="1" w:styleId="198">
    <w:name w:val="标准正文"/>
    <w:basedOn w:val="1"/>
    <w:qFormat/>
    <w:uiPriority w:val="0"/>
    <w:pPr>
      <w:spacing w:line="360" w:lineRule="auto"/>
      <w:ind w:firstLine="200" w:firstLineChars="200"/>
      <w:jc w:val="center"/>
    </w:pPr>
    <w:rPr>
      <w:rFonts w:ascii="宋体" w:hAnsi="宋体"/>
      <w:snapToGrid w:val="0"/>
      <w:spacing w:val="8"/>
      <w:sz w:val="24"/>
      <w:u w:val="single"/>
    </w:rPr>
  </w:style>
  <w:style w:type="paragraph" w:customStyle="1" w:styleId="199">
    <w:name w:val="Char Char"/>
    <w:basedOn w:val="1"/>
    <w:qFormat/>
    <w:uiPriority w:val="0"/>
  </w:style>
  <w:style w:type="paragraph" w:customStyle="1" w:styleId="200">
    <w:name w:val="李3"/>
    <w:basedOn w:val="1"/>
    <w:qFormat/>
    <w:uiPriority w:val="0"/>
    <w:pPr>
      <w:adjustRightInd w:val="0"/>
      <w:snapToGrid w:val="0"/>
      <w:spacing w:line="240" w:lineRule="exact"/>
      <w:jc w:val="left"/>
      <w:outlineLvl w:val="2"/>
    </w:pPr>
    <w:rPr>
      <w:rFonts w:ascii="Arial" w:hAnsi="Arial" w:cs="Arial"/>
    </w:rPr>
  </w:style>
  <w:style w:type="paragraph" w:customStyle="1" w:styleId="201">
    <w:name w:val="封面1"/>
    <w:basedOn w:val="1"/>
    <w:qFormat/>
    <w:uiPriority w:val="0"/>
    <w:pPr>
      <w:spacing w:line="360" w:lineRule="auto"/>
      <w:jc w:val="distribute"/>
    </w:pPr>
    <w:rPr>
      <w:rFonts w:ascii="黑体" w:eastAsia="黑体"/>
      <w:b/>
      <w:sz w:val="58"/>
    </w:rPr>
  </w:style>
  <w:style w:type="paragraph" w:customStyle="1" w:styleId="202">
    <w:name w:val="征文"/>
    <w:basedOn w:val="47"/>
    <w:qFormat/>
    <w:uiPriority w:val="0"/>
    <w:pPr>
      <w:spacing w:after="0" w:line="240" w:lineRule="auto"/>
    </w:pPr>
    <w:rPr>
      <w:rFonts w:eastAsia="仿宋_GB2312"/>
      <w:sz w:val="24"/>
      <w:szCs w:val="20"/>
    </w:rPr>
  </w:style>
  <w:style w:type="paragraph" w:customStyle="1" w:styleId="203">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204">
    <w:name w:val="Char Char Char Char Char Char Char Char Char Char"/>
    <w:basedOn w:val="1"/>
    <w:qFormat/>
    <w:uiPriority w:val="0"/>
    <w:rPr>
      <w:rFonts w:ascii="Tahoma" w:hAnsi="Tahoma"/>
      <w:sz w:val="24"/>
      <w:szCs w:val="20"/>
    </w:rPr>
  </w:style>
  <w:style w:type="character" w:customStyle="1" w:styleId="205">
    <w:name w:val="正文文本 2 Char"/>
    <w:basedOn w:val="57"/>
    <w:link w:val="47"/>
    <w:qFormat/>
    <w:uiPriority w:val="0"/>
    <w:rPr>
      <w:rFonts w:ascii="Times New Roman" w:hAnsi="Times New Roman" w:eastAsia="宋体" w:cs="Times New Roman"/>
      <w:kern w:val="2"/>
      <w:sz w:val="21"/>
      <w:szCs w:val="24"/>
    </w:rPr>
  </w:style>
  <w:style w:type="paragraph" w:customStyle="1" w:styleId="206">
    <w:name w:val="Char2 Char Char Char Char Char Char"/>
    <w:basedOn w:val="1"/>
    <w:qFormat/>
    <w:uiPriority w:val="0"/>
    <w:pPr>
      <w:widowControl/>
      <w:spacing w:line="400" w:lineRule="exact"/>
      <w:jc w:val="center"/>
    </w:pPr>
  </w:style>
  <w:style w:type="paragraph" w:customStyle="1" w:styleId="207">
    <w:name w:val="批注框文本[858D7CFB-ED40-4347-BF05-701D383B685F][858D7CFB-ED40-4347-BF05-701D383B685F]"/>
    <w:basedOn w:val="1"/>
    <w:qFormat/>
    <w:uiPriority w:val="0"/>
    <w:rPr>
      <w:sz w:val="18"/>
      <w:szCs w:val="18"/>
    </w:rPr>
  </w:style>
  <w:style w:type="paragraph" w:customStyle="1" w:styleId="208">
    <w:name w:val="正文_17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9">
    <w:name w:val="大标题"/>
    <w:basedOn w:val="3"/>
    <w:qFormat/>
    <w:uiPriority w:val="0"/>
    <w:pPr>
      <w:widowControl w:val="0"/>
      <w:spacing w:line="360" w:lineRule="auto"/>
      <w:jc w:val="center"/>
    </w:pPr>
    <w:rPr>
      <w:rFonts w:ascii="宋体" w:hAnsi="Arial"/>
      <w:snapToGrid w:val="0"/>
      <w:sz w:val="52"/>
      <w:szCs w:val="72"/>
    </w:rPr>
  </w:style>
  <w:style w:type="paragraph" w:customStyle="1" w:styleId="210">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三级无标题条"/>
    <w:basedOn w:val="1"/>
    <w:qFormat/>
    <w:uiPriority w:val="0"/>
    <w:rPr>
      <w:szCs w:val="21"/>
    </w:rPr>
  </w:style>
  <w:style w:type="paragraph" w:customStyle="1" w:styleId="212">
    <w:name w:val="样式2"/>
    <w:basedOn w:val="1"/>
    <w:qFormat/>
    <w:uiPriority w:val="0"/>
    <w:pPr>
      <w:adjustRightInd w:val="0"/>
      <w:snapToGrid w:val="0"/>
      <w:spacing w:line="300" w:lineRule="auto"/>
      <w:ind w:left="924" w:leftChars="200" w:hanging="504" w:hangingChars="200"/>
      <w:textAlignment w:val="baseline"/>
    </w:pPr>
    <w:rPr>
      <w:snapToGrid w:val="0"/>
      <w:spacing w:val="4"/>
      <w:kern w:val="0"/>
    </w:rPr>
  </w:style>
  <w:style w:type="paragraph" w:customStyle="1" w:styleId="213">
    <w:name w:val="大标题空格"/>
    <w:basedOn w:val="1"/>
    <w:qFormat/>
    <w:uiPriority w:val="0"/>
    <w:pPr>
      <w:spacing w:line="300" w:lineRule="auto"/>
    </w:pPr>
    <w:rPr>
      <w:rFonts w:ascii="宋体" w:hAnsi="宋体"/>
      <w:b/>
      <w:sz w:val="32"/>
    </w:rPr>
  </w:style>
  <w:style w:type="paragraph" w:customStyle="1" w:styleId="214">
    <w:name w:val="样式 宋体 四号 加粗 海绿 首行缩进:  0.85 厘米 行距: 1.5 倍行距"/>
    <w:basedOn w:val="1"/>
    <w:qFormat/>
    <w:uiPriority w:val="0"/>
    <w:pPr>
      <w:widowControl/>
      <w:tabs>
        <w:tab w:val="left" w:pos="900"/>
      </w:tabs>
      <w:ind w:left="900" w:hanging="420"/>
      <w:jc w:val="left"/>
    </w:pPr>
    <w:rPr>
      <w:kern w:val="0"/>
      <w:sz w:val="24"/>
    </w:rPr>
  </w:style>
  <w:style w:type="paragraph" w:customStyle="1" w:styleId="215">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16">
    <w:name w:val="ca-12"/>
    <w:qFormat/>
    <w:uiPriority w:val="0"/>
    <w:rPr>
      <w:rFonts w:eastAsia="宋体" w:cs="Times New Roman"/>
      <w:kern w:val="2"/>
      <w:sz w:val="24"/>
      <w:szCs w:val="24"/>
      <w:lang w:val="en-US" w:eastAsia="zh-CN" w:bidi="ar-SA"/>
    </w:rPr>
  </w:style>
  <w:style w:type="character" w:customStyle="1" w:styleId="217">
    <w:name w:val="标题 4 Char"/>
    <w:basedOn w:val="57"/>
    <w:link w:val="6"/>
    <w:qFormat/>
    <w:uiPriority w:val="0"/>
    <w:rPr>
      <w:rFonts w:hint="eastAsia" w:ascii="宋体" w:hAnsi="Arial" w:eastAsia="宋体" w:cs="宋体"/>
      <w:color w:val="000000"/>
      <w:kern w:val="2"/>
      <w:sz w:val="21"/>
      <w:szCs w:val="22"/>
    </w:rPr>
  </w:style>
  <w:style w:type="paragraph" w:styleId="218">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8D5BD-16CF-44AE-B78B-9DF1A967D0FC}">
  <ds:schemaRefs/>
</ds:datastoreItem>
</file>

<file path=docProps/app.xml><?xml version="1.0" encoding="utf-8"?>
<Properties xmlns="http://schemas.openxmlformats.org/officeDocument/2006/extended-properties" xmlns:vt="http://schemas.openxmlformats.org/officeDocument/2006/docPropsVTypes">
  <Template>Normal</Template>
  <Pages>66</Pages>
  <Words>30808</Words>
  <Characters>31756</Characters>
  <Lines>31</Lines>
  <Paragraphs>72</Paragraphs>
  <TotalTime>4</TotalTime>
  <ScaleCrop>false</ScaleCrop>
  <LinksUpToDate>false</LinksUpToDate>
  <CharactersWithSpaces>32348</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2021-02-21T14:46:00Z</dcterms:created>
  <cp:lastPrinted>2023-10-12T06:35:00Z</cp:lastPrinted>
  <dcterms:modified xsi:type="dcterms:W3CDTF">2023-10-12T06:53:49Z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8B6C12EEC84E42AFAC7104B55CC3C04A_13</vt:lpwstr>
  </property>
</Properties>
</file>