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6"/>
        </w:tabs>
        <w:autoSpaceDE w:val="0"/>
        <w:autoSpaceDN w:val="0"/>
        <w:adjustRightInd w:val="0"/>
        <w:spacing w:line="360" w:lineRule="auto"/>
        <w:jc w:val="both"/>
        <w:outlineLvl w:val="3"/>
        <w:rPr>
          <w:rFonts w:hint="default" w:ascii="黑体" w:hAnsi="黑体" w:eastAsia="黑体"/>
          <w:sz w:val="32"/>
          <w:szCs w:val="32"/>
          <w:lang w:val="en-US" w:eastAsia="zh-CN"/>
        </w:rPr>
      </w:pPr>
      <w:r>
        <w:rPr>
          <w:rFonts w:hint="eastAsia" w:ascii="宋体" w:hAnsi="宋体" w:eastAsia="宋体" w:cs="宋体"/>
          <w:kern w:val="2"/>
          <w:sz w:val="24"/>
          <w:szCs w:val="24"/>
          <w:lang w:val="en-US" w:eastAsia="zh-CN" w:bidi="ar-SA"/>
        </w:rPr>
        <w:t>附件1：</w:t>
      </w:r>
    </w:p>
    <w:p>
      <w:pPr>
        <w:tabs>
          <w:tab w:val="left" w:pos="426"/>
        </w:tabs>
        <w:autoSpaceDE w:val="0"/>
        <w:autoSpaceDN w:val="0"/>
        <w:adjustRightInd w:val="0"/>
        <w:spacing w:line="360" w:lineRule="auto"/>
        <w:jc w:val="center"/>
        <w:outlineLvl w:val="3"/>
        <w:rPr>
          <w:rFonts w:ascii="黑体" w:hAnsi="黑体" w:eastAsia="黑体"/>
          <w:sz w:val="32"/>
          <w:szCs w:val="32"/>
        </w:rPr>
      </w:pPr>
      <w:r>
        <w:rPr>
          <w:rFonts w:hint="eastAsia" w:ascii="黑体" w:hAnsi="黑体" w:eastAsia="黑体"/>
          <w:sz w:val="32"/>
          <w:szCs w:val="32"/>
        </w:rPr>
        <w:t>开标一览表(报价表)</w:t>
      </w:r>
    </w:p>
    <w:p>
      <w:pPr>
        <w:tabs>
          <w:tab w:val="left" w:pos="7740"/>
        </w:tabs>
        <w:adjustRightInd w:val="0"/>
        <w:snapToGrid w:val="0"/>
        <w:spacing w:line="360" w:lineRule="auto"/>
        <w:rPr>
          <w:rFonts w:ascii="宋体" w:hAnsi="宋体"/>
          <w:b/>
          <w:i/>
          <w:sz w:val="24"/>
        </w:rPr>
      </w:pPr>
      <w:r>
        <w:rPr>
          <w:rFonts w:hint="eastAsia" w:ascii="宋体" w:hAnsi="宋体"/>
          <w:sz w:val="24"/>
        </w:rPr>
        <w:t>项目名称：广州市白云城市开发投资集团有限公司2023年9月至2024年8月食材配送服务项目</w:t>
      </w:r>
    </w:p>
    <w:tbl>
      <w:tblPr>
        <w:tblStyle w:val="5"/>
        <w:tblW w:w="106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372"/>
        <w:gridCol w:w="1953"/>
        <w:gridCol w:w="2096"/>
        <w:gridCol w:w="20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160" w:type="dxa"/>
            <w:tcBorders>
              <w:top w:val="single" w:color="auto" w:sz="12" w:space="0"/>
              <w:bottom w:val="double" w:color="auto" w:sz="4" w:space="0"/>
            </w:tcBorders>
            <w:shd w:val="clear" w:color="auto" w:fill="EEECE1"/>
            <w:noWrap w:val="0"/>
            <w:vAlign w:val="center"/>
          </w:tcPr>
          <w:p>
            <w:pPr>
              <w:adjustRightInd w:val="0"/>
              <w:snapToGrid w:val="0"/>
              <w:jc w:val="center"/>
              <w:rPr>
                <w:rFonts w:ascii="宋体"/>
                <w:b/>
                <w:sz w:val="24"/>
              </w:rPr>
            </w:pPr>
            <w:r>
              <w:rPr>
                <w:rFonts w:hint="eastAsia" w:ascii="宋体"/>
                <w:b/>
                <w:sz w:val="24"/>
              </w:rPr>
              <w:t>采购内容</w:t>
            </w:r>
          </w:p>
        </w:tc>
        <w:tc>
          <w:tcPr>
            <w:tcW w:w="2372" w:type="dxa"/>
            <w:tcBorders>
              <w:top w:val="single" w:color="auto" w:sz="12" w:space="0"/>
              <w:bottom w:val="double" w:color="auto" w:sz="4" w:space="0"/>
            </w:tcBorders>
            <w:shd w:val="clear" w:color="auto" w:fill="EEECE1"/>
            <w:noWrap w:val="0"/>
            <w:vAlign w:val="center"/>
          </w:tcPr>
          <w:p>
            <w:pPr>
              <w:adjustRightInd w:val="0"/>
              <w:snapToGrid w:val="0"/>
              <w:jc w:val="center"/>
              <w:rPr>
                <w:rFonts w:ascii="宋体"/>
                <w:b/>
                <w:sz w:val="24"/>
              </w:rPr>
            </w:pPr>
            <w:r>
              <w:rPr>
                <w:rFonts w:hint="eastAsia" w:ascii="宋体"/>
                <w:b/>
                <w:sz w:val="24"/>
              </w:rPr>
              <w:t>总投标报价</w:t>
            </w:r>
            <w:r>
              <w:rPr>
                <w:rFonts w:hint="eastAsia" w:ascii="宋体"/>
                <w:b/>
                <w:sz w:val="24"/>
                <w:lang w:eastAsia="zh-CN"/>
              </w:rPr>
              <w:t>（</w:t>
            </w:r>
            <w:r>
              <w:rPr>
                <w:rFonts w:hint="eastAsia" w:ascii="宋体"/>
                <w:b/>
                <w:sz w:val="24"/>
                <w:lang w:val="en-US" w:eastAsia="zh-CN"/>
              </w:rPr>
              <w:t>元</w:t>
            </w:r>
            <w:r>
              <w:rPr>
                <w:rFonts w:hint="eastAsia" w:ascii="宋体"/>
                <w:b/>
                <w:sz w:val="24"/>
                <w:lang w:eastAsia="zh-CN"/>
              </w:rPr>
              <w:t>）</w:t>
            </w:r>
          </w:p>
        </w:tc>
        <w:tc>
          <w:tcPr>
            <w:tcW w:w="1953" w:type="dxa"/>
            <w:tcBorders>
              <w:top w:val="single" w:color="auto" w:sz="12" w:space="0"/>
              <w:bottom w:val="double" w:color="auto" w:sz="4" w:space="0"/>
            </w:tcBorders>
            <w:shd w:val="clear" w:color="auto" w:fill="EEECE1"/>
            <w:noWrap w:val="0"/>
            <w:vAlign w:val="center"/>
          </w:tcPr>
          <w:p>
            <w:pPr>
              <w:adjustRightInd w:val="0"/>
              <w:snapToGrid w:val="0"/>
              <w:jc w:val="center"/>
              <w:rPr>
                <w:rFonts w:ascii="宋体"/>
                <w:b/>
                <w:sz w:val="24"/>
              </w:rPr>
            </w:pPr>
            <w:r>
              <w:rPr>
                <w:rFonts w:hint="eastAsia" w:ascii="宋体"/>
                <w:b/>
                <w:sz w:val="24"/>
              </w:rPr>
              <w:t>每月投标单价</w:t>
            </w:r>
            <w:r>
              <w:rPr>
                <w:rFonts w:hint="eastAsia" w:ascii="宋体"/>
                <w:b/>
                <w:sz w:val="24"/>
                <w:lang w:eastAsia="zh-CN"/>
              </w:rPr>
              <w:t>（</w:t>
            </w:r>
            <w:r>
              <w:rPr>
                <w:rFonts w:hint="eastAsia" w:ascii="宋体"/>
                <w:b/>
                <w:sz w:val="24"/>
                <w:lang w:val="en-US" w:eastAsia="zh-CN"/>
              </w:rPr>
              <w:t>元</w:t>
            </w:r>
            <w:r>
              <w:rPr>
                <w:rFonts w:hint="eastAsia" w:ascii="宋体"/>
                <w:b/>
                <w:sz w:val="24"/>
                <w:lang w:eastAsia="zh-CN"/>
              </w:rPr>
              <w:t>）</w:t>
            </w:r>
          </w:p>
        </w:tc>
        <w:tc>
          <w:tcPr>
            <w:tcW w:w="2096" w:type="dxa"/>
            <w:tcBorders>
              <w:top w:val="single" w:color="auto" w:sz="12" w:space="0"/>
              <w:bottom w:val="double" w:color="auto" w:sz="4" w:space="0"/>
            </w:tcBorders>
            <w:shd w:val="clear" w:color="auto" w:fill="EEECE1"/>
            <w:noWrap w:val="0"/>
            <w:vAlign w:val="center"/>
          </w:tcPr>
          <w:p>
            <w:pPr>
              <w:adjustRightInd w:val="0"/>
              <w:snapToGrid w:val="0"/>
              <w:jc w:val="center"/>
              <w:rPr>
                <w:rFonts w:hint="default" w:ascii="宋体" w:eastAsia="宋体"/>
                <w:b/>
                <w:sz w:val="24"/>
                <w:lang w:val="en-US" w:eastAsia="zh-CN"/>
              </w:rPr>
            </w:pPr>
            <w:r>
              <w:rPr>
                <w:rFonts w:hint="eastAsia" w:ascii="宋体"/>
                <w:b/>
                <w:sz w:val="24"/>
                <w:lang w:val="en-US" w:eastAsia="zh-CN"/>
              </w:rPr>
              <w:t>投标下浮率（%）</w:t>
            </w:r>
          </w:p>
        </w:tc>
        <w:tc>
          <w:tcPr>
            <w:tcW w:w="2096" w:type="dxa"/>
            <w:tcBorders>
              <w:top w:val="single" w:color="auto" w:sz="12" w:space="0"/>
              <w:bottom w:val="double" w:color="auto" w:sz="4" w:space="0"/>
            </w:tcBorders>
            <w:shd w:val="clear" w:color="auto" w:fill="EEECE1"/>
            <w:noWrap w:val="0"/>
            <w:vAlign w:val="center"/>
          </w:tcPr>
          <w:p>
            <w:pPr>
              <w:adjustRightInd w:val="0"/>
              <w:snapToGrid w:val="0"/>
              <w:jc w:val="center"/>
              <w:rPr>
                <w:rFonts w:ascii="宋体"/>
                <w:b/>
                <w:sz w:val="24"/>
              </w:rPr>
            </w:pPr>
            <w:r>
              <w:rPr>
                <w:rFonts w:hint="eastAsia" w:ascii="宋体"/>
                <w:b/>
                <w:sz w:val="24"/>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2160" w:type="dxa"/>
            <w:tcBorders>
              <w:top w:val="single" w:color="auto" w:sz="4" w:space="0"/>
            </w:tcBorders>
            <w:noWrap w:val="0"/>
            <w:vAlign w:val="center"/>
          </w:tcPr>
          <w:p>
            <w:pPr>
              <w:adjustRightInd w:val="0"/>
              <w:snapToGrid w:val="0"/>
              <w:jc w:val="center"/>
              <w:rPr>
                <w:rFonts w:ascii="宋体"/>
                <w:bCs/>
                <w:sz w:val="24"/>
              </w:rPr>
            </w:pPr>
            <w:r>
              <w:rPr>
                <w:rFonts w:hint="eastAsia" w:ascii="宋体" w:hAnsi="宋体"/>
                <w:sz w:val="24"/>
              </w:rPr>
              <w:t>广州市白云城市开发投资集团有限公司2023年9月至2024年8月食材配送服务项目</w:t>
            </w:r>
          </w:p>
        </w:tc>
        <w:tc>
          <w:tcPr>
            <w:tcW w:w="2372" w:type="dxa"/>
            <w:tcBorders>
              <w:top w:val="single" w:color="auto" w:sz="4" w:space="0"/>
            </w:tcBorders>
            <w:noWrap w:val="0"/>
            <w:vAlign w:val="center"/>
          </w:tcPr>
          <w:p>
            <w:pPr>
              <w:adjustRightInd w:val="0"/>
              <w:snapToGrid w:val="0"/>
              <w:jc w:val="left"/>
              <w:rPr>
                <w:rFonts w:ascii="宋体" w:hAnsi="宋体"/>
                <w:sz w:val="24"/>
              </w:rPr>
            </w:pPr>
            <w:r>
              <w:rPr>
                <w:rFonts w:hint="eastAsia" w:ascii="宋体" w:hAnsi="宋体"/>
                <w:sz w:val="24"/>
              </w:rPr>
              <w:t>大写：</w:t>
            </w:r>
          </w:p>
          <w:p>
            <w:pPr>
              <w:adjustRightInd w:val="0"/>
              <w:snapToGrid w:val="0"/>
              <w:jc w:val="left"/>
              <w:rPr>
                <w:rFonts w:ascii="宋体" w:hAnsi="宋体"/>
                <w:sz w:val="24"/>
              </w:rPr>
            </w:pPr>
          </w:p>
          <w:p>
            <w:pPr>
              <w:adjustRightInd w:val="0"/>
              <w:snapToGrid w:val="0"/>
              <w:jc w:val="left"/>
              <w:rPr>
                <w:rFonts w:ascii="宋体"/>
                <w:bCs/>
                <w:sz w:val="24"/>
              </w:rPr>
            </w:pPr>
            <w:r>
              <w:rPr>
                <w:rFonts w:hint="eastAsia" w:ascii="宋体" w:hAnsi="宋体"/>
                <w:sz w:val="24"/>
              </w:rPr>
              <w:t>小写：</w:t>
            </w:r>
          </w:p>
        </w:tc>
        <w:tc>
          <w:tcPr>
            <w:tcW w:w="1953" w:type="dxa"/>
            <w:tcBorders>
              <w:top w:val="single" w:color="auto" w:sz="4" w:space="0"/>
            </w:tcBorders>
            <w:noWrap w:val="0"/>
            <w:vAlign w:val="center"/>
          </w:tcPr>
          <w:p>
            <w:pPr>
              <w:adjustRightInd w:val="0"/>
              <w:snapToGrid w:val="0"/>
              <w:jc w:val="left"/>
              <w:rPr>
                <w:rFonts w:ascii="宋体" w:hAnsi="宋体"/>
                <w:sz w:val="24"/>
              </w:rPr>
            </w:pPr>
            <w:r>
              <w:rPr>
                <w:rFonts w:hint="eastAsia" w:ascii="宋体" w:hAnsi="宋体"/>
                <w:sz w:val="24"/>
              </w:rPr>
              <w:t>大写：</w:t>
            </w:r>
          </w:p>
          <w:p>
            <w:pPr>
              <w:adjustRightInd w:val="0"/>
              <w:snapToGrid w:val="0"/>
              <w:jc w:val="left"/>
              <w:rPr>
                <w:rFonts w:ascii="宋体" w:hAnsi="宋体"/>
                <w:sz w:val="24"/>
              </w:rPr>
            </w:pPr>
          </w:p>
          <w:p>
            <w:pPr>
              <w:adjustRightInd w:val="0"/>
              <w:snapToGrid w:val="0"/>
              <w:jc w:val="left"/>
              <w:rPr>
                <w:rFonts w:ascii="宋体" w:hAnsi="宋体"/>
                <w:sz w:val="24"/>
              </w:rPr>
            </w:pPr>
            <w:r>
              <w:rPr>
                <w:rFonts w:hint="eastAsia" w:ascii="宋体" w:hAnsi="宋体"/>
                <w:sz w:val="24"/>
              </w:rPr>
              <w:t>小写：</w:t>
            </w:r>
          </w:p>
        </w:tc>
        <w:tc>
          <w:tcPr>
            <w:tcW w:w="2096" w:type="dxa"/>
            <w:tcBorders>
              <w:top w:val="single" w:color="auto" w:sz="4" w:space="0"/>
            </w:tcBorders>
            <w:noWrap w:val="0"/>
            <w:vAlign w:val="center"/>
          </w:tcPr>
          <w:p>
            <w:pPr>
              <w:adjustRightInd w:val="0"/>
              <w:snapToGrid w:val="0"/>
              <w:jc w:val="left"/>
              <w:rPr>
                <w:rFonts w:hint="eastAsia" w:ascii="宋体"/>
                <w:bCs/>
                <w:sz w:val="24"/>
              </w:rPr>
            </w:pPr>
          </w:p>
        </w:tc>
        <w:tc>
          <w:tcPr>
            <w:tcW w:w="2096" w:type="dxa"/>
            <w:tcBorders>
              <w:top w:val="single" w:color="auto" w:sz="4" w:space="0"/>
            </w:tcBorders>
            <w:noWrap w:val="0"/>
            <w:vAlign w:val="center"/>
          </w:tcPr>
          <w:p>
            <w:pPr>
              <w:adjustRightInd w:val="0"/>
              <w:snapToGrid w:val="0"/>
              <w:jc w:val="left"/>
              <w:rPr>
                <w:rFonts w:ascii="宋体"/>
                <w:bCs/>
                <w:sz w:val="24"/>
              </w:rPr>
            </w:pPr>
            <w:r>
              <w:rPr>
                <w:rFonts w:hint="eastAsia" w:ascii="宋体"/>
                <w:bCs/>
                <w:sz w:val="24"/>
              </w:rPr>
              <w:t>服务期限为</w:t>
            </w:r>
            <w:r>
              <w:rPr>
                <w:rFonts w:hint="eastAsia" w:ascii="宋体" w:eastAsia="宋体"/>
                <w:bCs/>
                <w:sz w:val="24"/>
              </w:rPr>
              <w:t>1</w:t>
            </w:r>
            <w:r>
              <w:rPr>
                <w:rFonts w:hint="eastAsia" w:ascii="宋体"/>
                <w:bCs/>
                <w:sz w:val="24"/>
              </w:rPr>
              <w:t>年。</w:t>
            </w:r>
          </w:p>
        </w:tc>
      </w:tr>
    </w:tbl>
    <w:p>
      <w:pPr>
        <w:spacing w:line="500" w:lineRule="exact"/>
        <w:rPr>
          <w:spacing w:val="4"/>
          <w:sz w:val="24"/>
        </w:rPr>
      </w:pPr>
    </w:p>
    <w:p>
      <w:pPr>
        <w:spacing w:line="500" w:lineRule="exact"/>
        <w:rPr>
          <w:rFonts w:ascii="宋体" w:hAnsi="宋体"/>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520" w:lineRule="exact"/>
        <w:rPr>
          <w:spacing w:val="4"/>
          <w:sz w:val="24"/>
        </w:rPr>
      </w:pPr>
      <w:r>
        <w:rPr>
          <w:rFonts w:hint="eastAsia" w:ascii="宋体"/>
          <w:sz w:val="24"/>
        </w:rPr>
        <w:t>法定代表人或</w:t>
      </w:r>
      <w:r>
        <w:rPr>
          <w:rFonts w:hint="eastAsia" w:ascii="宋体" w:hAnsi="宋体"/>
          <w:sz w:val="24"/>
        </w:rPr>
        <w:t>投标人授权代表（签名或盖个人名章）：</w:t>
      </w:r>
    </w:p>
    <w:p>
      <w:pPr>
        <w:spacing w:line="520" w:lineRule="exact"/>
        <w:rPr>
          <w:spacing w:val="4"/>
          <w:sz w:val="24"/>
        </w:rPr>
      </w:pPr>
      <w:r>
        <w:rPr>
          <w:rFonts w:hint="eastAsia"/>
          <w:spacing w:val="4"/>
          <w:sz w:val="24"/>
        </w:rPr>
        <w:t>日期：</w:t>
      </w:r>
    </w:p>
    <w:p>
      <w:pPr>
        <w:spacing w:line="400" w:lineRule="exact"/>
        <w:rPr>
          <w:rFonts w:ascii="宋体" w:hAnsi="宋体"/>
          <w:b/>
          <w:bCs/>
          <w:sz w:val="24"/>
        </w:rPr>
      </w:pPr>
    </w:p>
    <w:p>
      <w:pPr>
        <w:spacing w:line="360" w:lineRule="auto"/>
        <w:rPr>
          <w:rFonts w:ascii="宋体"/>
          <w:sz w:val="24"/>
        </w:rPr>
      </w:pPr>
      <w:r>
        <w:rPr>
          <w:rFonts w:hint="eastAsia" w:ascii="宋体"/>
          <w:sz w:val="24"/>
        </w:rPr>
        <w:t>注：1.投标人须按要求填写所有信息，不得随意更改本表格式。</w:t>
      </w:r>
    </w:p>
    <w:p>
      <w:pPr>
        <w:numPr>
          <w:ilvl w:val="0"/>
          <w:numId w:val="0"/>
        </w:numPr>
        <w:spacing w:line="360" w:lineRule="auto"/>
        <w:rPr>
          <w:rFonts w:ascii="宋体"/>
          <w:sz w:val="24"/>
        </w:rPr>
      </w:pPr>
      <w:r>
        <w:rPr>
          <w:rFonts w:hint="eastAsia" w:ascii="宋体"/>
          <w:sz w:val="24"/>
        </w:rPr>
        <w:t>2.投标人应报货交采购人指定地点/仓库的人民币含税价(包括但不限于项目的货物价格、配送服务、应向中华人民共和国政府缴纳的增值税和其它税等全部税费以及履行合同所需的费用、所有风险、责任等其他一切隐含及不可预见的费用)。</w:t>
      </w:r>
    </w:p>
    <w:p>
      <w:pPr>
        <w:pStyle w:val="3"/>
        <w:numPr>
          <w:ilvl w:val="0"/>
          <w:numId w:val="0"/>
        </w:numPr>
        <w:spacing w:line="360" w:lineRule="auto"/>
        <w:rPr>
          <w:rFonts w:hint="default" w:ascii="宋体" w:hAnsi="宋体"/>
          <w:color w:val="auto"/>
          <w:sz w:val="24"/>
          <w:szCs w:val="24"/>
          <w:lang w:val="en-US" w:eastAsia="zh-CN"/>
        </w:rPr>
      </w:pPr>
      <w:r>
        <w:rPr>
          <w:rFonts w:hint="eastAsia" w:ascii="宋体"/>
          <w:sz w:val="24"/>
        </w:rPr>
        <w:t>3.投标下浮率=1-</w:t>
      </w:r>
      <w:r>
        <w:rPr>
          <w:rFonts w:hint="eastAsia" w:ascii="宋体"/>
          <w:sz w:val="24"/>
          <w:lang w:val="en-US" w:eastAsia="zh-CN"/>
        </w:rPr>
        <w:t>总</w:t>
      </w:r>
      <w:r>
        <w:rPr>
          <w:rFonts w:hint="eastAsia" w:ascii="宋体"/>
          <w:sz w:val="24"/>
        </w:rPr>
        <w:t>投标报价</w:t>
      </w:r>
      <w:r>
        <w:rPr>
          <w:rFonts w:hint="eastAsia" w:ascii="宋体"/>
          <w:sz w:val="24"/>
          <w:lang w:eastAsia="zh-CN"/>
        </w:rPr>
        <w:t>（</w:t>
      </w:r>
      <w:r>
        <w:rPr>
          <w:rFonts w:hint="eastAsia" w:ascii="宋体"/>
          <w:sz w:val="24"/>
          <w:lang w:val="en-US" w:eastAsia="zh-CN"/>
        </w:rPr>
        <w:t>或每月投标单价</w:t>
      </w:r>
      <w:r>
        <w:rPr>
          <w:rFonts w:hint="eastAsia" w:ascii="宋体"/>
          <w:sz w:val="24"/>
          <w:lang w:eastAsia="zh-CN"/>
        </w:rPr>
        <w:t>）</w:t>
      </w:r>
      <w:r>
        <w:rPr>
          <w:rFonts w:hint="eastAsia" w:ascii="宋体"/>
          <w:sz w:val="24"/>
        </w:rPr>
        <w:t>/最高投标限价（或每月单价限价）×100%</w:t>
      </w:r>
    </w:p>
    <w:p>
      <w:bookmarkStart w:id="0" w:name="_GoBack"/>
      <w:bookmarkEnd w:id="0"/>
    </w:p>
    <w:sectPr>
      <w:footerReference r:id="rId3" w:type="default"/>
      <w:pgSz w:w="11906" w:h="16838"/>
      <w:pgMar w:top="1417"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ZDUxM2ZiNmU2OGNkMzhhODhiZWUwY2RiN2IyYmEifQ=="/>
  </w:docVars>
  <w:rsids>
    <w:rsidRoot w:val="56986D04"/>
    <w:rsid w:val="5698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等线" w:hAnsi="Courier New" w:eastAsia="等线"/>
      <w:szCs w:val="22"/>
    </w:rPr>
  </w:style>
  <w:style w:type="paragraph" w:styleId="3">
    <w:name w:val="Body Text"/>
    <w:basedOn w:val="1"/>
    <w:next w:val="1"/>
    <w:unhideWhenUsed/>
    <w:uiPriority w:val="99"/>
    <w:pPr>
      <w:spacing w:after="120"/>
    </w:p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2023-10-19T01:18:00Z</dcterms:created>
  <dc:creator>SHIELD</dc:creator>
  <cp:lastModifiedBy>SHIELD</cp:lastModifiedBy>
  <dcterms:modified xsi:type="dcterms:W3CDTF">2023-10-19T01:19:19Z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F1E2DD4E9D6F41BC88B766470358FEDA_11</vt:lpwstr>
  </property>
</Properties>
</file>